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2dd78288963d4275" /></Relationships>
</file>

<file path=word/document.xml><?xml version="1.0" encoding="utf-8"?>
<w:document xmlns:w="http://schemas.openxmlformats.org/wordprocessingml/2006/main">
  <w:body>
    <w:sectPr>
      <w:pgMar w:top="1417" w:right="1417" w:bottom="1417" w:left="1417"/>
    </w:sectPr>
    <w:p>
      <w:pPr>
        <w:spacing w:line="360"/>
        <w:jc w:val="center"/>
      </w:pPr>
      <w:r>
        <w:rPr>
          <w:b/>
          <w:sz w:val="28"/>
          <w:rFonts w:ascii="Times New Roman" w:hAnsi="Times New Roman" w:cs="Times New Roman"/>
        </w:rPr>
        <w:t xml:space="preserve">OBRAZLOŽENJE IZVRŠENJA FINANCIJSKOG PLANA HRVATSKIH VODA ZA PRVO POLUGODIŠTE 2023. GODINE</w:t>
      </w:r>
    </w:p>
    <w:p>
      <w:pPr>
        <w:spacing w:line="360"/>
        <w:jc w:val="left"/>
      </w:pPr>
      <w:r>
        <w:rPr>
          <w:b/>
          <w:u w:val="single"/>
          <w:sz w:val="24"/>
          <w:rFonts w:ascii="Times New Roman" w:hAnsi="Times New Roman" w:cs="Times New Roman"/>
        </w:rPr>
        <w:br/>
        <w:t xml:space="preserve">UVOD</w:t>
      </w:r>
    </w:p>
    <w:p>
      <w:pPr>
        <w:spacing w:line="240"/>
        <w:jc w:val="both"/>
      </w:pPr>
      <w:r>
        <w:rPr>
          <w:rFonts w:ascii="Times New Roman" w:hAnsi="Times New Roman" w:cs="Times New Roman"/>
          <w:sz w:val="24"/>
        </w:rPr>
        <w:t xml:space="preserve">U razdoblju siječanj - lipanj
2023. godine ukupni prihodi su ostvareni u iznosu od 349.164.397,25 EUR, 11,71
% više u odnosu na isto razdoblje prošle godine, s indeksom 38,00 % u odnosu na
planirano. Ukupni rashodi su realizirani u visini od 343.063.567,43 EUR, 15,20
% više u odnosu na isto razdoblje prošle godine, a u odnosu na plan s indeksom
od 35,76 %.</w:t>
      </w:r>
      <w:r>
        <w:rPr>
          <w:rFonts w:ascii="Times New Roman" w:hAnsi="Times New Roman" w:cs="Times New Roman"/>
          <w:sz w:val="24"/>
        </w:rPr>
        <w:br/>
      </w:r>
    </w:p>
    <w:p>
      <w:pPr>
        <w:spacing w:line="360"/>
        <w:jc w:val="left"/>
      </w:pPr>
      <w:r>
        <w:rPr>
          <w:b/>
          <w:u w:val="single"/>
          <w:sz w:val="24"/>
          <w:rFonts w:ascii="Times New Roman" w:hAnsi="Times New Roman" w:cs="Times New Roman"/>
        </w:rPr>
        <w:br/>
        <w:t xml:space="preserve">PRIHODI</w:t>
      </w:r>
    </w:p>
    <w:tbl>
      <w:tblPr>
        <w:tblW w:w="4850" w:type="pct"/>
        <w:tblBorders>
          <w:top w:val="single" w:sz="5"/>
          <w:bottom w:val="single" w:sz="5"/>
          <w:left w:val="single" w:sz="5"/>
          <w:right w:val="single" w:sz="5"/>
          <w:insideH w:val="single" w:sz="5"/>
          <w:insideV w:val="single" w:sz="5"/>
        </w:tblBorders>
        <w:tblCellMar>
          <w:top w:w="0" w:type="dxa"/>
          <w:start w:w="100" w:type="dxa"/>
          <w:bottom w:w="0" w:type="dxa"/>
          <w:end w:w="100" w:type="dxa"/>
        </w:tblCellMar>
      </w:tblPr>
      <w:tr>
        <w:tc>
          <w:tcPr>
            <w:tcW w:w="1400" w:type="pct"/>
            <w:vAlign w:val="center"/>
            <w:shd w:val="clear" w:color="auto" w:fill="#bcdffb"/>
          </w:tcPr>
          <w:p>
            <w:pPr>
              <w:spacing w:after="0" w:line="240"/>
              <w:jc w:val="center"/>
            </w:pPr>
            <w:r>
              <w:rPr>
                <w:b/>
                <w:sz w:val="18"/>
                <w:rFonts w:ascii="Times New Roman" w:hAnsi="Times New Roman" w:cs="Times New Roman"/>
              </w:rPr>
              <w:t>BROJČANA OZNAKA I NAZIV</w:t>
            </w:r>
          </w:p>
        </w:tc>
        <w:tc>
          <w:tcPr>
            <w:tcW w:w="800" w:type="pct"/>
            <w:vAlign w:val="center"/>
            <w:shd w:val="clear" w:color="auto" w:fill="#bcdffb"/>
          </w:tcPr>
          <w:p>
            <w:pPr>
              <w:spacing w:after="0" w:line="240"/>
              <w:jc w:val="center"/>
            </w:pPr>
            <w:r>
              <w:rPr>
                <w:b/>
                <w:sz w:val="18"/>
                <w:rFonts w:ascii="Times New Roman" w:hAnsi="Times New Roman" w:cs="Times New Roman"/>
              </w:rPr>
              <w:t>OSTVARENJE</w:t>
              <w:br/>
              <w:t>1.-6. 2022.</w:t>
            </w:r>
          </w:p>
        </w:tc>
        <w:tc>
          <w:tcPr>
            <w:tcW w:w="800" w:type="pct"/>
            <w:vAlign w:val="center"/>
            <w:shd w:val="clear" w:color="auto" w:fill="#bcdffb"/>
          </w:tcPr>
          <w:p>
            <w:pPr>
              <w:spacing w:after="0" w:line="240"/>
              <w:jc w:val="center"/>
            </w:pPr>
            <w:r>
              <w:rPr>
                <w:b/>
                <w:sz w:val="18"/>
                <w:rFonts w:ascii="Times New Roman" w:hAnsi="Times New Roman" w:cs="Times New Roman"/>
              </w:rPr>
              <w:t>REBALANS</w:t>
              <w:br/>
              <w:t>2023.</w:t>
            </w:r>
          </w:p>
        </w:tc>
        <w:tc>
          <w:tcPr>
            <w:tcW w:w="800" w:type="pct"/>
            <w:vAlign w:val="center"/>
            <w:shd w:val="clear" w:color="auto" w:fill="#bcdffb"/>
          </w:tcPr>
          <w:p>
            <w:pPr>
              <w:spacing w:after="0" w:line="240"/>
              <w:jc w:val="center"/>
            </w:pPr>
            <w:r>
              <w:rPr>
                <w:b/>
                <w:sz w:val="18"/>
                <w:rFonts w:ascii="Times New Roman" w:hAnsi="Times New Roman" w:cs="Times New Roman"/>
              </w:rPr>
              <w:t>OSTVARENJE</w:t>
              <w:br/>
              <w:t>1.-6. 2023.</w:t>
            </w:r>
          </w:p>
        </w:tc>
        <w:tc>
          <w:tcPr>
            <w:tcW w:w="500" w:type="pct"/>
            <w:vAlign w:val="center"/>
            <w:shd w:val="clear" w:color="auto" w:fill="#bcdffb"/>
          </w:tcPr>
          <w:p>
            <w:pPr>
              <w:spacing w:after="0" w:line="240"/>
              <w:jc w:val="center"/>
            </w:pPr>
            <w:r>
              <w:rPr>
                <w:b/>
                <w:sz w:val="18"/>
                <w:rFonts w:ascii="Times New Roman" w:hAnsi="Times New Roman" w:cs="Times New Roman"/>
              </w:rPr>
              <w:t>INDEKS</w:t>
            </w:r>
          </w:p>
        </w:tc>
        <w:tc>
          <w:tcPr>
            <w:tcW w:w="500" w:type="pct"/>
            <w:vAlign w:val="center"/>
            <w:shd w:val="clear" w:color="auto" w:fill="#bcdffb"/>
          </w:tcPr>
          <w:p>
            <w:pPr>
              <w:spacing w:after="0" w:line="240"/>
              <w:jc w:val="center"/>
            </w:pPr>
            <w:r>
              <w:rPr>
                <w:b/>
                <w:sz w:val="18"/>
                <w:rFonts w:ascii="Times New Roman" w:hAnsi="Times New Roman" w:cs="Times New Roman"/>
              </w:rPr>
              <w:t>INDEKS</w:t>
            </w:r>
          </w:p>
        </w:tc>
      </w:tr>
      <w:tr>
        <w:tc>
          <w:tcPr>
            <w:tcW w:w="1400" w:type="pct"/>
            <w:vAlign w:val="center"/>
            <w:shd w:val="clear" w:color="auto" w:fill="#bcdffb"/>
          </w:tcPr>
          <w:p>
            <w:pPr>
              <w:spacing w:after="0" w:line="240"/>
              <w:jc w:val="center"/>
            </w:pPr>
            <w:r>
              <w:rPr>
                <w:sz w:val="14"/>
                <w:rFonts w:ascii="Times New Roman" w:hAnsi="Times New Roman" w:cs="Times New Roman"/>
              </w:rPr>
              <w:t>1</w:t>
            </w:r>
          </w:p>
        </w:tc>
        <w:tc>
          <w:tcPr>
            <w:tcW w:w="800" w:type="pct"/>
            <w:vAlign w:val="center"/>
            <w:shd w:val="clear" w:color="auto" w:fill="#bcdffb"/>
          </w:tcPr>
          <w:p>
            <w:pPr>
              <w:spacing w:after="0" w:line="240"/>
              <w:jc w:val="center"/>
            </w:pPr>
            <w:r>
              <w:rPr>
                <w:sz w:val="14"/>
                <w:rFonts w:ascii="Times New Roman" w:hAnsi="Times New Roman" w:cs="Times New Roman"/>
              </w:rPr>
              <w:t>2</w:t>
            </w:r>
          </w:p>
        </w:tc>
        <w:tc>
          <w:tcPr>
            <w:tcW w:w="800" w:type="pct"/>
            <w:vAlign w:val="center"/>
            <w:shd w:val="clear" w:color="auto" w:fill="#bcdffb"/>
          </w:tcPr>
          <w:p>
            <w:pPr>
              <w:spacing w:after="0" w:line="240"/>
              <w:jc w:val="center"/>
            </w:pPr>
            <w:r>
              <w:rPr>
                <w:sz w:val="14"/>
                <w:rFonts w:ascii="Times New Roman" w:hAnsi="Times New Roman" w:cs="Times New Roman"/>
              </w:rPr>
              <w:t>3</w:t>
            </w:r>
          </w:p>
        </w:tc>
        <w:tc>
          <w:tcPr>
            <w:tcW w:w="800" w:type="pct"/>
            <w:vAlign w:val="center"/>
            <w:shd w:val="clear" w:color="auto" w:fill="#bcdffb"/>
          </w:tcPr>
          <w:p>
            <w:pPr>
              <w:spacing w:after="0" w:line="240"/>
              <w:jc w:val="center"/>
            </w:pPr>
            <w:r>
              <w:rPr>
                <w:sz w:val="14"/>
                <w:rFonts w:ascii="Times New Roman" w:hAnsi="Times New Roman" w:cs="Times New Roman"/>
              </w:rPr>
              <w:t>4</w:t>
            </w:r>
          </w:p>
        </w:tc>
        <w:tc>
          <w:tcPr>
            <w:tcW w:w="500" w:type="pct"/>
            <w:vAlign w:val="center"/>
            <w:shd w:val="clear" w:color="auto" w:fill="#bcdffb"/>
          </w:tcPr>
          <w:p>
            <w:pPr>
              <w:spacing w:after="0" w:line="240"/>
              <w:jc w:val="center"/>
            </w:pPr>
            <w:r>
              <w:rPr>
                <w:sz w:val="14"/>
                <w:rFonts w:ascii="Times New Roman" w:hAnsi="Times New Roman" w:cs="Times New Roman"/>
              </w:rPr>
              <w:t>5=4/2</w:t>
            </w:r>
          </w:p>
        </w:tc>
        <w:tc>
          <w:tcPr>
            <w:tcW w:w="500" w:type="pct"/>
            <w:vAlign w:val="center"/>
            <w:shd w:val="clear" w:color="auto" w:fill="#bcdffb"/>
          </w:tcPr>
          <w:p>
            <w:pPr>
              <w:spacing w:after="0" w:line="240"/>
              <w:jc w:val="center"/>
            </w:pPr>
            <w:r>
              <w:rPr>
                <w:sz w:val="14"/>
                <w:rFonts w:ascii="Times New Roman" w:hAnsi="Times New Roman" w:cs="Times New Roman"/>
              </w:rPr>
              <w:t>6=4/3</w:t>
            </w:r>
          </w:p>
        </w:tc>
      </w:tr>
      <w:tr>
        <w:tc>
          <w:tcPr>
            <w:tcW w:w="1400" w:type="pct"/>
            <w:vAlign w:val="bottom"/>
          </w:tcPr>
          <w:p>
            <w:pPr>
              <w:spacing w:after="0" w:line="240"/>
              <w:jc w:val="left"/>
            </w:pPr>
            <w:r>
              <w:rPr>
                <w:sz w:val="18"/>
                <w:rFonts w:ascii="Times New Roman" w:hAnsi="Times New Roman" w:cs="Times New Roman"/>
              </w:rPr>
              <w:t>6 PRIHODI POSLOVANJA</w:t>
            </w:r>
          </w:p>
        </w:tc>
        <w:tc>
          <w:tcPr>
            <w:tcW w:w="800" w:type="pct"/>
            <w:vAlign w:val="bottom"/>
          </w:tcPr>
          <w:p>
            <w:pPr>
              <w:spacing w:after="0" w:line="240"/>
              <w:jc w:val="right"/>
            </w:pPr>
            <w:r>
              <w:rPr>
                <w:sz w:val="18"/>
                <w:rFonts w:ascii="Times New Roman" w:hAnsi="Times New Roman" w:cs="Times New Roman"/>
              </w:rPr>
              <w:t>312.566.650</w:t>
            </w:r>
          </w:p>
        </w:tc>
        <w:tc>
          <w:tcPr>
            <w:tcW w:w="800" w:type="pct"/>
            <w:vAlign w:val="bottom"/>
          </w:tcPr>
          <w:p>
            <w:pPr>
              <w:spacing w:after="0" w:line="240"/>
              <w:jc w:val="right"/>
            </w:pPr>
            <w:r>
              <w:rPr>
                <w:sz w:val="18"/>
                <w:rFonts w:ascii="Times New Roman" w:hAnsi="Times New Roman" w:cs="Times New Roman"/>
              </w:rPr>
              <w:t>918.827.274</w:t>
            </w:r>
          </w:p>
        </w:tc>
        <w:tc>
          <w:tcPr>
            <w:tcW w:w="800" w:type="pct"/>
            <w:vAlign w:val="bottom"/>
          </w:tcPr>
          <w:p>
            <w:pPr>
              <w:spacing w:after="0" w:line="240"/>
              <w:jc w:val="right"/>
            </w:pPr>
            <w:r>
              <w:rPr>
                <w:sz w:val="18"/>
                <w:rFonts w:ascii="Times New Roman" w:hAnsi="Times New Roman" w:cs="Times New Roman"/>
              </w:rPr>
              <w:t>349.163.276</w:t>
            </w:r>
          </w:p>
        </w:tc>
        <w:tc>
          <w:tcPr>
            <w:tcW w:w="500" w:type="pct"/>
            <w:vAlign w:val="bottom"/>
          </w:tcPr>
          <w:p>
            <w:pPr>
              <w:spacing w:after="0" w:line="240"/>
              <w:jc w:val="right"/>
            </w:pPr>
            <w:r>
              <w:rPr>
                <w:sz w:val="18"/>
                <w:rFonts w:ascii="Times New Roman" w:hAnsi="Times New Roman" w:cs="Times New Roman"/>
              </w:rPr>
              <w:t>111,7</w:t>
            </w:r>
          </w:p>
        </w:tc>
        <w:tc>
          <w:tcPr>
            <w:tcW w:w="500" w:type="pct"/>
            <w:vAlign w:val="bottom"/>
          </w:tcPr>
          <w:p>
            <w:pPr>
              <w:spacing w:after="0" w:line="240"/>
              <w:jc w:val="right"/>
            </w:pPr>
            <w:r>
              <w:rPr>
                <w:sz w:val="18"/>
                <w:rFonts w:ascii="Times New Roman" w:hAnsi="Times New Roman" w:cs="Times New Roman"/>
              </w:rPr>
              <w:t>38,0</w:t>
            </w:r>
          </w:p>
        </w:tc>
      </w:tr>
      <w:tr>
        <w:tc>
          <w:tcPr>
            <w:tcW w:w="1400" w:type="pct"/>
            <w:vAlign w:val="bottom"/>
          </w:tcPr>
          <w:p>
            <w:pPr>
              <w:spacing w:after="0" w:line="240"/>
              <w:jc w:val="left"/>
            </w:pPr>
            <w:r>
              <w:rPr>
                <w:sz w:val="18"/>
                <w:rFonts w:ascii="Times New Roman" w:hAnsi="Times New Roman" w:cs="Times New Roman"/>
              </w:rPr>
              <w:t>7 PRIHODI OD PRODAJE NEFINANCIJSKE IMOVINE</w:t>
            </w:r>
          </w:p>
        </w:tc>
        <w:tc>
          <w:tcPr>
            <w:tcW w:w="800" w:type="pct"/>
            <w:vAlign w:val="bottom"/>
          </w:tcPr>
          <w:p>
            <w:pPr>
              <w:spacing w:after="0" w:line="240"/>
              <w:jc w:val="right"/>
            </w:pPr>
            <w:r>
              <w:rPr>
                <w:sz w:val="18"/>
                <w:rFonts w:ascii="Times New Roman" w:hAnsi="Times New Roman" w:cs="Times New Roman"/>
              </w:rPr>
              <w:t>2.089</w:t>
            </w:r>
          </w:p>
        </w:tc>
        <w:tc>
          <w:tcPr>
            <w:tcW w:w="800" w:type="pct"/>
            <w:vAlign w:val="bottom"/>
          </w:tcPr>
          <w:p>
            <w:pPr>
              <w:spacing w:after="0" w:line="240"/>
              <w:jc w:val="right"/>
            </w:pPr>
            <w:r>
              <w:rPr>
                <w:sz w:val="18"/>
                <w:rFonts w:ascii="Times New Roman" w:hAnsi="Times New Roman" w:cs="Times New Roman"/>
              </w:rPr>
              <w:t>13.273</w:t>
            </w:r>
          </w:p>
        </w:tc>
        <w:tc>
          <w:tcPr>
            <w:tcW w:w="800" w:type="pct"/>
            <w:vAlign w:val="bottom"/>
          </w:tcPr>
          <w:p>
            <w:pPr>
              <w:spacing w:after="0" w:line="240"/>
              <w:jc w:val="right"/>
            </w:pPr>
            <w:r>
              <w:rPr>
                <w:sz w:val="18"/>
                <w:rFonts w:ascii="Times New Roman" w:hAnsi="Times New Roman" w:cs="Times New Roman"/>
              </w:rPr>
              <w:t>1.121</w:t>
            </w:r>
          </w:p>
        </w:tc>
        <w:tc>
          <w:tcPr>
            <w:tcW w:w="500" w:type="pct"/>
            <w:vAlign w:val="bottom"/>
          </w:tcPr>
          <w:p>
            <w:pPr>
              <w:spacing w:after="0" w:line="240"/>
              <w:jc w:val="right"/>
            </w:pPr>
            <w:r>
              <w:rPr>
                <w:sz w:val="18"/>
                <w:rFonts w:ascii="Times New Roman" w:hAnsi="Times New Roman" w:cs="Times New Roman"/>
              </w:rPr>
              <w:t>53,7</w:t>
            </w:r>
          </w:p>
        </w:tc>
        <w:tc>
          <w:tcPr>
            <w:tcW w:w="500" w:type="pct"/>
            <w:vAlign w:val="bottom"/>
          </w:tcPr>
          <w:p>
            <w:pPr>
              <w:spacing w:after="0" w:line="240"/>
              <w:jc w:val="right"/>
            </w:pPr>
            <w:r>
              <w:rPr>
                <w:sz w:val="18"/>
                <w:rFonts w:ascii="Times New Roman" w:hAnsi="Times New Roman" w:cs="Times New Roman"/>
              </w:rPr>
              <w:t>8,4</w:t>
            </w:r>
          </w:p>
        </w:tc>
      </w:tr>
      <w:tr>
        <w:tc>
          <w:tcPr>
            <w:tcW w:w="1400" w:type="pct"/>
            <w:vAlign w:val="bottom"/>
          </w:tcPr>
          <w:p>
            <w:pPr>
              <w:spacing w:after="0" w:line="240"/>
              <w:jc w:val="left"/>
            </w:pPr>
            <w:r>
              <w:rPr>
                <w:b/>
                <w:sz w:val="18"/>
                <w:rFonts w:ascii="Times New Roman" w:hAnsi="Times New Roman" w:cs="Times New Roman"/>
              </w:rPr>
              <w:t>UKUPNI PRIHODI</w:t>
            </w:r>
          </w:p>
        </w:tc>
        <w:tc>
          <w:tcPr>
            <w:tcW w:w="800" w:type="pct"/>
            <w:vAlign w:val="bottom"/>
          </w:tcPr>
          <w:p>
            <w:pPr>
              <w:spacing w:after="0" w:line="240"/>
              <w:jc w:val="right"/>
            </w:pPr>
            <w:r>
              <w:rPr>
                <w:b/>
                <w:sz w:val="18"/>
                <w:rFonts w:ascii="Times New Roman" w:hAnsi="Times New Roman" w:cs="Times New Roman"/>
              </w:rPr>
              <w:t>312.568.739</w:t>
            </w:r>
          </w:p>
        </w:tc>
        <w:tc>
          <w:tcPr>
            <w:tcW w:w="800" w:type="pct"/>
            <w:vAlign w:val="bottom"/>
          </w:tcPr>
          <w:p>
            <w:pPr>
              <w:spacing w:after="0" w:line="240"/>
              <w:jc w:val="right"/>
            </w:pPr>
            <w:r>
              <w:rPr>
                <w:b/>
                <w:sz w:val="18"/>
                <w:rFonts w:ascii="Times New Roman" w:hAnsi="Times New Roman" w:cs="Times New Roman"/>
              </w:rPr>
              <w:t>918.840.547</w:t>
            </w:r>
          </w:p>
        </w:tc>
        <w:tc>
          <w:tcPr>
            <w:tcW w:w="800" w:type="pct"/>
            <w:vAlign w:val="bottom"/>
          </w:tcPr>
          <w:p>
            <w:pPr>
              <w:spacing w:after="0" w:line="240"/>
              <w:jc w:val="right"/>
            </w:pPr>
            <w:r>
              <w:rPr>
                <w:b/>
                <w:sz w:val="18"/>
                <w:rFonts w:ascii="Times New Roman" w:hAnsi="Times New Roman" w:cs="Times New Roman"/>
              </w:rPr>
              <w:t>349.164.397</w:t>
            </w:r>
          </w:p>
        </w:tc>
        <w:tc>
          <w:tcPr>
            <w:tcW w:w="500" w:type="pct"/>
            <w:vAlign w:val="bottom"/>
          </w:tcPr>
          <w:p>
            <w:pPr>
              <w:spacing w:after="0" w:line="240"/>
              <w:jc w:val="right"/>
            </w:pPr>
            <w:r>
              <w:rPr>
                <w:b/>
                <w:sz w:val="18"/>
                <w:rFonts w:ascii="Times New Roman" w:hAnsi="Times New Roman" w:cs="Times New Roman"/>
              </w:rPr>
              <w:t>111,7</w:t>
            </w:r>
          </w:p>
        </w:tc>
        <w:tc>
          <w:tcPr>
            <w:tcW w:w="500" w:type="pct"/>
            <w:vAlign w:val="bottom"/>
          </w:tcPr>
          <w:p>
            <w:pPr>
              <w:spacing w:after="0" w:line="240"/>
              <w:jc w:val="right"/>
            </w:pPr>
            <w:r>
              <w:rPr>
                <w:b/>
                <w:sz w:val="18"/>
                <w:rFonts w:ascii="Times New Roman" w:hAnsi="Times New Roman" w:cs="Times New Roman"/>
              </w:rPr>
              <w:t>38,0</w:t>
            </w:r>
          </w:p>
        </w:tc>
      </w:tr>
    </w:tbl>
    <w:p>
      <w:pPr>
        <w:spacing w:after="0" w:line="240"/>
      </w:pPr>
    </w:p>
    <w:p>
      <w:pPr>
        <w:spacing w:line="240"/>
        <w:jc w:val="both"/>
      </w:pPr>
      <w:r>
        <w:rPr>
          <w:rFonts w:ascii="Times New Roman" w:hAnsi="Times New Roman" w:cs="Times New Roman"/>
          <w:sz w:val="24"/>
        </w:rPr>
        <w:t xml:space="preserve">U strukturi ukupnih prihoda, prihodi po
posebnim propisima – prihodi vodnog gospodarstva čine udio od 38,30%, prihodi
od kapitalnih i tekućih pomoći iz Državnog proračuna, te tekućih i kapitalnih
pomoći temeljem prijenosa EU sredstava - Državni proračun 57,86 %, a svi ostali
3,82%. </w:t>
      </w:r>
    </w:p>
    <w:p>
      <w:pPr>
        <w:spacing w:line="240"/>
        <w:jc w:val="both"/>
      </w:pPr>
      <w:r>
        <w:rPr>
          <w:rFonts w:ascii="Times New Roman" w:hAnsi="Times New Roman" w:cs="Times New Roman"/>
          <w:b/>
          <w:sz w:val="24"/>
        </w:rPr>
        <w:t xml:space="preserve">Prihodi
poslovanja</w:t>
      </w:r>
      <w:r>
        <w:rPr>
          <w:rFonts w:ascii="Times New Roman" w:hAnsi="Times New Roman" w:cs="Times New Roman"/>
          <w:sz w:val="24"/>
        </w:rPr>
        <w:t xml:space="preserve"> ostvareni su u iznosu od 349.163.276,16
EUR, veći su u odnosu na 2022. godinu za 36.596.626,23 EUR što je povećanje od
11,71 % i to prvenstvenu u dijelu tekućih i kapitalnih pomoći temeljem
prijenosa EU sredstava i kapitalnih donacija (vlastito učešće jedinica lokalne
samouprave/javnih isporučitelja vodnih usluga), a sve zbog pojačane realizacije
na kapitalnim aktivnostima sufinanciranim bespovratnim sredstvima iz EU
fondova.</w:t>
      </w:r>
    </w:p>
    <w:p>
      <w:pPr>
        <w:spacing w:line="240"/>
        <w:jc w:val="both"/>
      </w:pPr>
      <w:r>
        <w:rPr>
          <w:rFonts w:ascii="Times New Roman" w:hAnsi="Times New Roman" w:cs="Times New Roman"/>
          <w:b/>
          <w:sz w:val="24"/>
        </w:rPr>
        <w:t xml:space="preserve"> </w:t>
      </w:r>
    </w:p>
    <w:p>
      <w:pPr>
        <w:spacing w:line="240"/>
        <w:jc w:val="both"/>
      </w:pPr>
      <w:r>
        <w:rPr>
          <w:rFonts w:ascii="Times New Roman" w:hAnsi="Times New Roman" w:cs="Times New Roman"/>
          <w:b/>
          <w:i/>
          <w:sz w:val="24"/>
        </w:rPr>
        <w:t xml:space="preserve">Pomoći iz inozemstva i od subjekata unutar općeg
proračuna</w:t>
      </w:r>
      <w:r>
        <w:rPr>
          <w:rFonts w:ascii="Times New Roman" w:hAnsi="Times New Roman" w:cs="Times New Roman"/>
          <w:sz w:val="24"/>
        </w:rPr>
        <w:t xml:space="preserve"> ostvarene su u iznosu od 202.095.682,10
EUR s indeksom 34,05 u odnosu na plan, odnosno, 15,29% više u odnosu na
ostvarenje u 2022. godini kada su iznosili 175.290.682,19 EUR.</w:t>
      </w:r>
    </w:p>
    <w:p>
      <w:pPr>
        <w:spacing w:line="240"/>
        <w:jc w:val="both"/>
      </w:pPr>
      <w:r>
        <w:rPr>
          <w:rFonts w:ascii="Times New Roman" w:hAnsi="Times New Roman" w:cs="Times New Roman"/>
          <w:b/>
          <w:i/>
          <w:sz w:val="24"/>
        </w:rPr>
        <w:t xml:space="preserve">Pomoći od međunarodnih organizacija te institucija i
tijela EU </w:t>
      </w:r>
      <w:r>
        <w:rPr>
          <w:rFonts w:ascii="Times New Roman" w:hAnsi="Times New Roman" w:cs="Times New Roman"/>
          <w:sz w:val="24"/>
        </w:rPr>
        <w:t xml:space="preserve"> ostvarene su u ukupnom iznosu od
60.477,82 EUR tekućih pomoći, a odnose se na EU donacije prekogranične suradnje
Hrvatska - Srbija, Mađarska i Italija.</w:t>
      </w:r>
    </w:p>
    <w:p>
      <w:pPr>
        <w:spacing w:line="240"/>
        <w:jc w:val="both"/>
      </w:pPr>
      <w:r>
        <w:rPr>
          <w:rFonts w:ascii="Times New Roman" w:hAnsi="Times New Roman" w:cs="Times New Roman"/>
          <w:b/>
          <w:i/>
          <w:sz w:val="24"/>
        </w:rPr>
        <w:t xml:space="preserve">Pomoći proračunu iz drugih proračuna i
izvanproračunskim korisnicima</w:t>
      </w:r>
      <w:r>
        <w:rPr>
          <w:rFonts w:ascii="Times New Roman" w:hAnsi="Times New Roman" w:cs="Times New Roman"/>
          <w:b/>
          <w:sz w:val="24"/>
        </w:rPr>
        <w:t xml:space="preserve"> </w:t>
      </w:r>
      <w:r>
        <w:rPr>
          <w:rFonts w:ascii="Times New Roman" w:hAnsi="Times New Roman" w:cs="Times New Roman"/>
          <w:sz w:val="24"/>
        </w:rPr>
        <w:t xml:space="preserve">ostvarene su iznosom od
24.740.190,67 EUR. Sastoje se od kapitalnih pomoći proračunu iz državnog
proračuna koje su ostvarene u ukupnom iznosu od 22.628.438,19 EUR. S razdjela
Ministarstva gospodarstva i održivog razvoja kroz učešće državnog proračuna
povučeno je za EU vodnokomunalne projekte 22.605.760,84 EUR, za nacionalni
projekt navodnjavanja 22.677,35 EUR. Kapitalne pomoći proračunu iz proračuna
lokalne i regionalne samouprave ostvarene su u iznosu 2.111.752,48 EUR, a
odnose se na učešće u sufinanciranju EU projekata – lokalna komponenta.</w:t>
      </w:r>
    </w:p>
    <w:p>
      <w:pPr>
        <w:spacing w:line="240"/>
        <w:jc w:val="both"/>
      </w:pPr>
      <w:r>
        <w:rPr>
          <w:rFonts w:ascii="Times New Roman" w:hAnsi="Times New Roman" w:cs="Times New Roman"/>
          <w:b/>
          <w:i/>
          <w:sz w:val="24"/>
        </w:rPr>
        <w:t xml:space="preserve">Pomoći temeljem prijenosa EU sredstav</w:t>
      </w:r>
      <w:r>
        <w:rPr>
          <w:rFonts w:ascii="Times New Roman" w:hAnsi="Times New Roman" w:cs="Times New Roman"/>
          <w:b/>
          <w:sz w:val="24"/>
        </w:rPr>
        <w:t xml:space="preserve">a</w:t>
      </w:r>
      <w:r>
        <w:rPr>
          <w:rFonts w:ascii="Times New Roman" w:hAnsi="Times New Roman" w:cs="Times New Roman"/>
          <w:sz w:val="24"/>
        </w:rPr>
        <w:t xml:space="preserve">  ostvarene su u ukupnom iznosu od 177.295.013,61 EUR. Kapitalne pomoći temeljem
prijenosa EU sredstava u ukupnom iznosu od 165.227.398,59 EUR, sastoje se od
bespovratnih EU sredstava putem državnog proračuna s razdjela Ministarstva
gospodarstva i održivog razvoja i to: za EU projekte poboljšanja vodnokomunalne
infrastrukture OP „Konkurentnost i kohezija 2014-2020 Prioritet 5 i 6“ u iznosu
140.898.948,19 EUR, za projekte obrane od poplava u iznosu 8.968.865,62 EUR od
čega za „OP Konkurentnost i kohezija 2014-2020“ u iznosu 7.690.092,77 EUR i
„Fond solidarnosti -  potresi na području Sisačko-moslavačke županije“
iznos 1.278.772,85 EUR, te iz Mehanizma za oporavak i otpornost NPOO - za projekte
obrane od poplava 3.828.949,84 EUR i NPOO u iznosu od 11.530.633,94 EUR.</w:t>
      </w:r>
    </w:p>
    <w:p>
      <w:pPr>
        <w:spacing w:line="240"/>
        <w:jc w:val="both"/>
      </w:pPr>
      <w:r>
        <w:rPr>
          <w:rFonts w:ascii="Times New Roman" w:hAnsi="Times New Roman" w:cs="Times New Roman"/>
          <w:sz w:val="24"/>
        </w:rPr>
        <w:t xml:space="preserve">U okviru istih su i tekuće pomoći temeljem
prijenosa EU sredstava ostvarene u ukupnom iznosu od 12.067.615,02 EUR. Sastoje
se od bespovratnih EU sredstava putem državnog proračuna s razdjela
Ministarstva gospodarstva i održivog razvoja za EU projekt Naturavita u iznosu
od 137.600,74 EUR, iz Fonda solidarnosti za potrese na području Zagrebačke i
Sisačko-moslavačke županije u iznosu od 11.564.817,85 EUR i Mehanizma za
oporavak i otpornost NPOO - za vodno komunalne projekte 365.196,43 EUR.</w:t>
      </w:r>
    </w:p>
    <w:p>
      <w:pPr>
        <w:spacing w:line="240"/>
        <w:jc w:val="both"/>
      </w:pPr>
      <w:r>
        <w:rPr>
          <w:rFonts w:ascii="Times New Roman" w:hAnsi="Times New Roman" w:cs="Times New Roman"/>
          <w:b/>
          <w:sz w:val="24"/>
        </w:rPr>
        <w:t xml:space="preserve">Prihodi
od imovine</w:t>
      </w:r>
      <w:r>
        <w:rPr>
          <w:rFonts w:ascii="Times New Roman" w:hAnsi="Times New Roman" w:cs="Times New Roman"/>
          <w:sz w:val="24"/>
        </w:rPr>
        <w:t xml:space="preserve"> u ukupnom iznosu 425.672,05 EUR,
ostvareni su s indeksom 33,41 u odnosu na plan, a sastoje se od prihoda od
financijske imovine 238.774,13 EUR (zatezne kamate, kamate na obročnu otplatu,
prihodi s osnova ugovornih obveza) i prihoda od nefinancijske imovine (zakup i
iznajmljivanje imovine i ostalo) 186.897,92 EUR.</w:t>
      </w:r>
    </w:p>
    <w:p>
      <w:pPr>
        <w:spacing w:line="240"/>
        <w:jc w:val="both"/>
      </w:pPr>
      <w:r>
        <w:rPr>
          <w:rFonts w:ascii="Times New Roman" w:hAnsi="Times New Roman" w:cs="Times New Roman"/>
          <w:b/>
          <w:sz w:val="24"/>
        </w:rPr>
        <w:t xml:space="preserve">Prihodi
od upravnih i administrativnih pristojbi, pristojbi po posebnim propisima i
naknada</w:t>
      </w:r>
      <w:r>
        <w:rPr>
          <w:rFonts w:ascii="Times New Roman" w:hAnsi="Times New Roman" w:cs="Times New Roman"/>
          <w:sz w:val="24"/>
        </w:rPr>
        <w:t xml:space="preserve"> ostvareni su u ukupnom iznosu od
133.711.576,57 EUR s indeksom 47,06 u odnosu na plan.</w:t>
      </w:r>
    </w:p>
    <w:p>
      <w:pPr>
        <w:spacing w:line="240"/>
        <w:jc w:val="both"/>
      </w:pPr>
      <w:r>
        <w:rPr>
          <w:rFonts w:ascii="Times New Roman" w:hAnsi="Times New Roman" w:cs="Times New Roman"/>
          <w:sz w:val="24"/>
        </w:rPr>
        <w:t xml:space="preserve">Sastoje se od </w:t>
      </w:r>
      <w:r>
        <w:rPr>
          <w:rFonts w:ascii="Times New Roman" w:hAnsi="Times New Roman" w:cs="Times New Roman"/>
          <w:b/>
          <w:i/>
          <w:sz w:val="24"/>
        </w:rPr>
        <w:t xml:space="preserve">prihoda po posebnim propisima</w:t>
      </w:r>
      <w:r>
        <w:rPr>
          <w:rFonts w:ascii="Times New Roman" w:hAnsi="Times New Roman" w:cs="Times New Roman"/>
          <w:b/>
          <w:i/>
          <w:sz w:val="24"/>
        </w:rPr>
        <w:t xml:space="preserve">–
prihoda vodnog gospodarstva</w:t>
      </w:r>
      <w:r>
        <w:rPr>
          <w:rFonts w:ascii="Times New Roman" w:hAnsi="Times New Roman" w:cs="Times New Roman"/>
          <w:sz w:val="24"/>
        </w:rPr>
        <w:t xml:space="preserve"> (izvorni prihodi Hrvatskih voda) koji su
ostvareni iznosom od 129.011.008,43 EUR odnosno 5,38% više u odnosu na isto
razdoblje 2022. godine i ostalih nespomenutih prihoda. Izvorni prihodi sastoje
se od namjenskih vodnih naknada utvrđenih Zakonom o financiranju vodnog
gospodarstva; naknada za uređenje voda u iznosu od 60.307.915,57 EUR, naknada
za zaštitu voda 14.564.452,52 EUR, vodni doprinos u iznosu 5.424.052,16 EUR i
naknadu za korištenje voda u iznosu 48.714.588,18 EUR. Vrijednosno
najznačajnija je naknada za uređenje voda i čini 46,75% od ukupno ostvarenih
vodnih naknada. Ova naknada je u istom razdoblju 2022. godine također činila
najveći dio u ukupnim naknadama.</w:t>
      </w:r>
    </w:p>
    <w:p>
      <w:pPr>
        <w:spacing w:line="240"/>
        <w:jc w:val="both"/>
      </w:pPr>
      <w:r>
        <w:rPr>
          <w:rFonts w:ascii="Times New Roman" w:hAnsi="Times New Roman" w:cs="Times New Roman"/>
          <w:b/>
          <w:i/>
          <w:sz w:val="24"/>
        </w:rPr>
        <w:t xml:space="preserve">Ostali nespomenuti prihodi </w:t>
      </w:r>
      <w:r>
        <w:rPr>
          <w:rFonts w:ascii="Times New Roman" w:hAnsi="Times New Roman" w:cs="Times New Roman"/>
          <w:sz w:val="24"/>
        </w:rPr>
        <w:t xml:space="preserve">ostvareni
su u iznosu od 4.700.568,14 EUR, a odnose se na refundacije od javnih
isporučitelja vodnih usluga s naslova korištenih kredita za obnovu i razvitak
vodnokomunalne infrastrukture u iznosu 2.063.030,05 EUR, refundacije s osnova
naplate troškova ovrha putem odvjetnika 29.439,20 EUR, refundacije troškova
programa iz ranijih godina i po konačnim obračunima radova i povrati sredstava
po odlukama Ministarstva gospodarstva i održivog razvoja za EU projekte u
iznosu od 1.834.043,38 EUR, prihodi s osnova naplaćenih ugovornih kazni u
iznosu 157.171,78 EUR, povrati na temelju Ugovora o financiranju građenja
vodnih građevina iz ranijih godina u iznosu od 502.492,51 EUR,  i ostalo u
ukupnom iznosu od 114.391,22 EUR.</w:t>
      </w:r>
    </w:p>
    <w:p>
      <w:pPr>
        <w:spacing w:line="240"/>
        <w:jc w:val="both"/>
      </w:pPr>
      <w:r>
        <w:rPr>
          <w:rFonts w:ascii="Times New Roman" w:hAnsi="Times New Roman" w:cs="Times New Roman"/>
          <w:b/>
          <w:sz w:val="24"/>
        </w:rPr>
        <w:t xml:space="preserve">Prihodi
od prodaje proizvoda i robe te pruženih usluga, prihodi od donacija te povrati
po protestiranim jamstvima </w:t>
      </w:r>
      <w:r>
        <w:rPr>
          <w:rFonts w:ascii="Times New Roman" w:hAnsi="Times New Roman" w:cs="Times New Roman"/>
          <w:sz w:val="24"/>
        </w:rPr>
        <w:t xml:space="preserve">ostvareni su u ukupnom iznosu od
12.930.345,44 EUR, s indeksom od 32,39 u odnosu na plan, što je za 14,65% više
u odnosu na isto razdoblje 2022. godine. </w:t>
      </w:r>
    </w:p>
    <w:p>
      <w:pPr>
        <w:spacing w:line="240"/>
        <w:jc w:val="both"/>
      </w:pPr>
      <w:r>
        <w:rPr>
          <w:rFonts w:ascii="Times New Roman" w:hAnsi="Times New Roman" w:cs="Times New Roman"/>
          <w:b/>
          <w:i/>
          <w:sz w:val="24"/>
        </w:rPr>
        <w:t xml:space="preserve">Prihod od prodaje proizvoda i robe te pruženih usluga</w:t>
      </w:r>
      <w:r>
        <w:rPr>
          <w:rFonts w:ascii="Times New Roman" w:hAnsi="Times New Roman" w:cs="Times New Roman"/>
          <w:sz w:val="24"/>
        </w:rPr>
        <w:t xml:space="preserve">  ostvaren je u iznosu od  50.971,32 EUR od čega je 50.770,65 EUR prihod od
pruženih usluga prehrane u kantini za zaposlene.</w:t>
      </w:r>
    </w:p>
    <w:p>
      <w:pPr>
        <w:spacing w:line="240"/>
        <w:jc w:val="both"/>
      </w:pPr>
      <w:r>
        <w:rPr>
          <w:rFonts w:ascii="Times New Roman" w:hAnsi="Times New Roman" w:cs="Times New Roman"/>
          <w:b/>
          <w:i/>
          <w:sz w:val="24"/>
        </w:rPr>
        <w:t xml:space="preserve">Donacije od pravnih i fizičkih osoba izvan općeg
proračuna i povrat donacija po protestiranim jamstvima</w:t>
      </w:r>
      <w:r>
        <w:rPr>
          <w:rFonts w:ascii="Times New Roman" w:hAnsi="Times New Roman" w:cs="Times New Roman"/>
          <w:sz w:val="24"/>
        </w:rPr>
        <w:t xml:space="preserve">  ostvarene su u iznosu od 12.879.374,12 EUR.  Kapitalne donacije ostvarene
su u ukupnom iznosu od 12.219.325,30 EUR, što je za 1.766.944,78 EUR više u
odnosu na izvršenje u istom razdoblju 2022. godine, a odnose se na sredstva
učešća javih isporučitelja vodnih usluga za projekte vodnokomunalne
infrastrukture sufinancirane bespovratnim sredstvima EU što je u skladu sa
povećanom realizacijom.</w:t>
      </w:r>
    </w:p>
    <w:p>
      <w:pPr>
        <w:spacing w:line="240"/>
        <w:jc w:val="both"/>
      </w:pPr>
      <w:r>
        <w:rPr>
          <w:rFonts w:ascii="Times New Roman" w:hAnsi="Times New Roman" w:cs="Times New Roman"/>
          <w:sz w:val="24"/>
        </w:rPr>
        <w:t xml:space="preserve">Tekuće donacije ostvarene su u ukupnom
iznosu od 660.048,82 EUR, a odnose se na refundacije HEP proizvodnje d.o.o. za program
zaštite od štetnog djelovanja voda.</w:t>
      </w:r>
    </w:p>
    <w:p>
      <w:pPr>
        <w:spacing w:line="240"/>
        <w:jc w:val="both"/>
      </w:pPr>
      <w:r>
        <w:rPr>
          <w:rFonts w:ascii="Times New Roman" w:hAnsi="Times New Roman" w:cs="Times New Roman"/>
          <w:b/>
          <w:sz w:val="24"/>
        </w:rPr>
        <w:t xml:space="preserve">Prihodi
od prodaje nefinancijske imovine </w:t>
      </w:r>
      <w:r>
        <w:rPr>
          <w:rFonts w:ascii="Times New Roman" w:hAnsi="Times New Roman" w:cs="Times New Roman"/>
          <w:sz w:val="24"/>
        </w:rPr>
        <w:t xml:space="preserve">ostvareni
su u iznosu od 1.121,09 EUR, s indeksom 8,45 u odnosu na plan, a sastoje se od
prihoda s osnove otkupa stanova sa stanarskim pravom.</w:t>
      </w:r>
      <w:r>
        <w:rPr>
          <w:rFonts w:ascii="Times New Roman" w:hAnsi="Times New Roman" w:cs="Times New Roman"/>
          <w:sz w:val="24"/>
        </w:rPr>
        <w:br/>
      </w:r>
    </w:p>
    <w:p>
      <w:pPr>
        <w:spacing w:line="360"/>
        <w:jc w:val="left"/>
      </w:pPr>
      <w:r>
        <w:rPr>
          <w:b/>
          <w:u w:val="single"/>
          <w:sz w:val="24"/>
          <w:rFonts w:ascii="Times New Roman" w:hAnsi="Times New Roman" w:cs="Times New Roman"/>
        </w:rPr>
        <w:br/>
        <w:t xml:space="preserve">RASHODI</w:t>
      </w:r>
    </w:p>
    <w:tbl>
      <w:tblPr>
        <w:tblW w:w="4850" w:type="pct"/>
        <w:tblBorders>
          <w:top w:val="single" w:sz="5"/>
          <w:bottom w:val="single" w:sz="5"/>
          <w:left w:val="single" w:sz="5"/>
          <w:right w:val="single" w:sz="5"/>
          <w:insideH w:val="single" w:sz="5"/>
          <w:insideV w:val="single" w:sz="5"/>
        </w:tblBorders>
        <w:tblCellMar>
          <w:top w:w="0" w:type="dxa"/>
          <w:start w:w="100" w:type="dxa"/>
          <w:bottom w:w="0" w:type="dxa"/>
          <w:end w:w="100" w:type="dxa"/>
        </w:tblCellMar>
      </w:tblPr>
      <w:tr>
        <w:tc>
          <w:tcPr>
            <w:tcW w:w="1400" w:type="pct"/>
            <w:vAlign w:val="center"/>
            <w:shd w:val="clear" w:color="auto" w:fill="#bcdffb"/>
          </w:tcPr>
          <w:p>
            <w:pPr>
              <w:spacing w:after="0" w:line="240"/>
              <w:jc w:val="center"/>
            </w:pPr>
            <w:r>
              <w:rPr>
                <w:b/>
                <w:sz w:val="18"/>
                <w:rFonts w:ascii="Times New Roman" w:hAnsi="Times New Roman" w:cs="Times New Roman"/>
              </w:rPr>
              <w:t>BROJČANA OZNAKA I NAZIV</w:t>
            </w:r>
          </w:p>
        </w:tc>
        <w:tc>
          <w:tcPr>
            <w:tcW w:w="800" w:type="pct"/>
            <w:vAlign w:val="center"/>
            <w:shd w:val="clear" w:color="auto" w:fill="#bcdffb"/>
          </w:tcPr>
          <w:p>
            <w:pPr>
              <w:spacing w:after="0" w:line="240"/>
              <w:jc w:val="center"/>
            </w:pPr>
            <w:r>
              <w:rPr>
                <w:b/>
                <w:sz w:val="18"/>
                <w:rFonts w:ascii="Times New Roman" w:hAnsi="Times New Roman" w:cs="Times New Roman"/>
              </w:rPr>
              <w:t>IZVRŠENJE</w:t>
              <w:br/>
              <w:t>1.-6. 2022.</w:t>
            </w:r>
          </w:p>
        </w:tc>
        <w:tc>
          <w:tcPr>
            <w:tcW w:w="800" w:type="pct"/>
            <w:vAlign w:val="center"/>
            <w:shd w:val="clear" w:color="auto" w:fill="#bcdffb"/>
          </w:tcPr>
          <w:p>
            <w:pPr>
              <w:spacing w:after="0" w:line="240"/>
              <w:jc w:val="center"/>
            </w:pPr>
            <w:r>
              <w:rPr>
                <w:b/>
                <w:sz w:val="18"/>
                <w:rFonts w:ascii="Times New Roman" w:hAnsi="Times New Roman" w:cs="Times New Roman"/>
              </w:rPr>
              <w:t>REBALANS</w:t>
              <w:br/>
              <w:t>2023.</w:t>
            </w:r>
          </w:p>
        </w:tc>
        <w:tc>
          <w:tcPr>
            <w:tcW w:w="800" w:type="pct"/>
            <w:vAlign w:val="center"/>
            <w:shd w:val="clear" w:color="auto" w:fill="#bcdffb"/>
          </w:tcPr>
          <w:p>
            <w:pPr>
              <w:spacing w:after="0" w:line="240"/>
              <w:jc w:val="center"/>
            </w:pPr>
            <w:r>
              <w:rPr>
                <w:b/>
                <w:sz w:val="18"/>
                <w:rFonts w:ascii="Times New Roman" w:hAnsi="Times New Roman" w:cs="Times New Roman"/>
              </w:rPr>
              <w:t>IZVRŠENJE</w:t>
              <w:br/>
              <w:t>1.-6. 2023.</w:t>
            </w:r>
          </w:p>
        </w:tc>
        <w:tc>
          <w:tcPr>
            <w:tcW w:w="500" w:type="pct"/>
            <w:vAlign w:val="center"/>
            <w:shd w:val="clear" w:color="auto" w:fill="#bcdffb"/>
          </w:tcPr>
          <w:p>
            <w:pPr>
              <w:spacing w:after="0" w:line="240"/>
              <w:jc w:val="center"/>
            </w:pPr>
            <w:r>
              <w:rPr>
                <w:b/>
                <w:sz w:val="18"/>
                <w:rFonts w:ascii="Times New Roman" w:hAnsi="Times New Roman" w:cs="Times New Roman"/>
              </w:rPr>
              <w:t>INDEKS</w:t>
            </w:r>
          </w:p>
        </w:tc>
        <w:tc>
          <w:tcPr>
            <w:tcW w:w="500" w:type="pct"/>
            <w:vAlign w:val="center"/>
            <w:shd w:val="clear" w:color="auto" w:fill="#bcdffb"/>
          </w:tcPr>
          <w:p>
            <w:pPr>
              <w:spacing w:after="0" w:line="240"/>
              <w:jc w:val="center"/>
            </w:pPr>
            <w:r>
              <w:rPr>
                <w:b/>
                <w:sz w:val="18"/>
                <w:rFonts w:ascii="Times New Roman" w:hAnsi="Times New Roman" w:cs="Times New Roman"/>
              </w:rPr>
              <w:t>INDEKS</w:t>
            </w:r>
          </w:p>
        </w:tc>
      </w:tr>
      <w:tr>
        <w:tc>
          <w:tcPr>
            <w:tcW w:w="1400" w:type="pct"/>
            <w:vAlign w:val="center"/>
            <w:shd w:val="clear" w:color="auto" w:fill="#bcdffb"/>
          </w:tcPr>
          <w:p>
            <w:pPr>
              <w:spacing w:after="0" w:line="240"/>
              <w:jc w:val="center"/>
            </w:pPr>
            <w:r>
              <w:rPr>
                <w:sz w:val="14"/>
                <w:rFonts w:ascii="Times New Roman" w:hAnsi="Times New Roman" w:cs="Times New Roman"/>
              </w:rPr>
              <w:t>1</w:t>
            </w:r>
          </w:p>
        </w:tc>
        <w:tc>
          <w:tcPr>
            <w:tcW w:w="800" w:type="pct"/>
            <w:vAlign w:val="center"/>
            <w:shd w:val="clear" w:color="auto" w:fill="#bcdffb"/>
          </w:tcPr>
          <w:p>
            <w:pPr>
              <w:spacing w:after="0" w:line="240"/>
              <w:jc w:val="center"/>
            </w:pPr>
            <w:r>
              <w:rPr>
                <w:sz w:val="14"/>
                <w:rFonts w:ascii="Times New Roman" w:hAnsi="Times New Roman" w:cs="Times New Roman"/>
              </w:rPr>
              <w:t>2</w:t>
            </w:r>
          </w:p>
        </w:tc>
        <w:tc>
          <w:tcPr>
            <w:tcW w:w="800" w:type="pct"/>
            <w:vAlign w:val="center"/>
            <w:shd w:val="clear" w:color="auto" w:fill="#bcdffb"/>
          </w:tcPr>
          <w:p>
            <w:pPr>
              <w:spacing w:after="0" w:line="240"/>
              <w:jc w:val="center"/>
            </w:pPr>
            <w:r>
              <w:rPr>
                <w:sz w:val="14"/>
                <w:rFonts w:ascii="Times New Roman" w:hAnsi="Times New Roman" w:cs="Times New Roman"/>
              </w:rPr>
              <w:t>3</w:t>
            </w:r>
          </w:p>
        </w:tc>
        <w:tc>
          <w:tcPr>
            <w:tcW w:w="800" w:type="pct"/>
            <w:vAlign w:val="center"/>
            <w:shd w:val="clear" w:color="auto" w:fill="#bcdffb"/>
          </w:tcPr>
          <w:p>
            <w:pPr>
              <w:spacing w:after="0" w:line="240"/>
              <w:jc w:val="center"/>
            </w:pPr>
            <w:r>
              <w:rPr>
                <w:sz w:val="14"/>
                <w:rFonts w:ascii="Times New Roman" w:hAnsi="Times New Roman" w:cs="Times New Roman"/>
              </w:rPr>
              <w:t>4</w:t>
            </w:r>
          </w:p>
        </w:tc>
        <w:tc>
          <w:tcPr>
            <w:tcW w:w="500" w:type="pct"/>
            <w:vAlign w:val="center"/>
            <w:shd w:val="clear" w:color="auto" w:fill="#bcdffb"/>
          </w:tcPr>
          <w:p>
            <w:pPr>
              <w:spacing w:after="0" w:line="240"/>
              <w:jc w:val="center"/>
            </w:pPr>
            <w:r>
              <w:rPr>
                <w:sz w:val="14"/>
                <w:rFonts w:ascii="Times New Roman" w:hAnsi="Times New Roman" w:cs="Times New Roman"/>
              </w:rPr>
              <w:t>5=4/2</w:t>
            </w:r>
          </w:p>
        </w:tc>
        <w:tc>
          <w:tcPr>
            <w:tcW w:w="500" w:type="pct"/>
            <w:vAlign w:val="center"/>
            <w:shd w:val="clear" w:color="auto" w:fill="#bcdffb"/>
          </w:tcPr>
          <w:p>
            <w:pPr>
              <w:spacing w:after="0" w:line="240"/>
              <w:jc w:val="center"/>
            </w:pPr>
            <w:r>
              <w:rPr>
                <w:sz w:val="14"/>
                <w:rFonts w:ascii="Times New Roman" w:hAnsi="Times New Roman" w:cs="Times New Roman"/>
              </w:rPr>
              <w:t>6=4/3</w:t>
            </w:r>
          </w:p>
        </w:tc>
      </w:tr>
      <w:tr>
        <w:tc>
          <w:tcPr>
            <w:tcW w:w="1400" w:type="pct"/>
            <w:vAlign w:val="center"/>
          </w:tcPr>
          <w:p>
            <w:pPr>
              <w:spacing w:after="0" w:line="240"/>
              <w:jc w:val="left"/>
            </w:pPr>
            <w:r>
              <w:rPr>
                <w:sz w:val="18"/>
                <w:rFonts w:ascii="Times New Roman" w:hAnsi="Times New Roman" w:cs="Times New Roman"/>
              </w:rPr>
              <w:t>3 RASHODI POSLOVANJA</w:t>
            </w:r>
          </w:p>
        </w:tc>
        <w:tc>
          <w:tcPr>
            <w:tcW w:w="800" w:type="pct"/>
            <w:vAlign w:val="bottom"/>
          </w:tcPr>
          <w:p>
            <w:pPr>
              <w:spacing w:after="0" w:line="240"/>
              <w:jc w:val="right"/>
            </w:pPr>
            <w:r>
              <w:rPr>
                <w:sz w:val="18"/>
                <w:rFonts w:ascii="Times New Roman" w:hAnsi="Times New Roman" w:cs="Times New Roman"/>
              </w:rPr>
              <w:t>278.626.497</w:t>
            </w:r>
          </w:p>
        </w:tc>
        <w:tc>
          <w:tcPr>
            <w:tcW w:w="800" w:type="pct"/>
            <w:vAlign w:val="bottom"/>
          </w:tcPr>
          <w:p>
            <w:pPr>
              <w:spacing w:after="0" w:line="240"/>
              <w:jc w:val="right"/>
            </w:pPr>
            <w:r>
              <w:rPr>
                <w:sz w:val="18"/>
                <w:rFonts w:ascii="Times New Roman" w:hAnsi="Times New Roman" w:cs="Times New Roman"/>
              </w:rPr>
              <w:t>871.495.254</w:t>
            </w:r>
          </w:p>
        </w:tc>
        <w:tc>
          <w:tcPr>
            <w:tcW w:w="800" w:type="pct"/>
            <w:vAlign w:val="bottom"/>
          </w:tcPr>
          <w:p>
            <w:pPr>
              <w:spacing w:after="0" w:line="240"/>
              <w:jc w:val="right"/>
            </w:pPr>
            <w:r>
              <w:rPr>
                <w:sz w:val="18"/>
                <w:rFonts w:ascii="Times New Roman" w:hAnsi="Times New Roman" w:cs="Times New Roman"/>
              </w:rPr>
              <w:t>321.218.639</w:t>
            </w:r>
          </w:p>
        </w:tc>
        <w:tc>
          <w:tcPr>
            <w:tcW w:w="500" w:type="pct"/>
            <w:vAlign w:val="bottom"/>
          </w:tcPr>
          <w:p>
            <w:pPr>
              <w:spacing w:after="0" w:line="240"/>
              <w:jc w:val="right"/>
            </w:pPr>
            <w:r>
              <w:rPr>
                <w:sz w:val="18"/>
                <w:rFonts w:ascii="Times New Roman" w:hAnsi="Times New Roman" w:cs="Times New Roman"/>
              </w:rPr>
              <w:t>115,3</w:t>
            </w:r>
          </w:p>
        </w:tc>
        <w:tc>
          <w:tcPr>
            <w:tcW w:w="500" w:type="pct"/>
            <w:vAlign w:val="bottom"/>
          </w:tcPr>
          <w:p>
            <w:pPr>
              <w:spacing w:after="0" w:line="240"/>
              <w:jc w:val="right"/>
            </w:pPr>
            <w:r>
              <w:rPr>
                <w:sz w:val="18"/>
                <w:rFonts w:ascii="Times New Roman" w:hAnsi="Times New Roman" w:cs="Times New Roman"/>
              </w:rPr>
              <w:t>36,9</w:t>
            </w:r>
          </w:p>
        </w:tc>
      </w:tr>
      <w:tr>
        <w:tc>
          <w:tcPr>
            <w:tcW w:w="1400" w:type="pct"/>
            <w:vAlign w:val="bottom"/>
          </w:tcPr>
          <w:p>
            <w:pPr>
              <w:spacing w:after="0" w:line="240"/>
              <w:jc w:val="left"/>
            </w:pPr>
            <w:r>
              <w:rPr>
                <w:sz w:val="18"/>
                <w:rFonts w:ascii="Times New Roman" w:hAnsi="Times New Roman" w:cs="Times New Roman"/>
              </w:rPr>
              <w:t>4 RASHODI ZA NABAVU NEFINANCIJSKE IMOVINE</w:t>
            </w:r>
          </w:p>
        </w:tc>
        <w:tc>
          <w:tcPr>
            <w:tcW w:w="800" w:type="pct"/>
            <w:vAlign w:val="bottom"/>
          </w:tcPr>
          <w:p>
            <w:pPr>
              <w:spacing w:after="0" w:line="240"/>
              <w:jc w:val="right"/>
            </w:pPr>
            <w:r>
              <w:rPr>
                <w:sz w:val="18"/>
                <w:rFonts w:ascii="Times New Roman" w:hAnsi="Times New Roman" w:cs="Times New Roman"/>
              </w:rPr>
              <w:t>19.170.687</w:t>
            </w:r>
          </w:p>
        </w:tc>
        <w:tc>
          <w:tcPr>
            <w:tcW w:w="800" w:type="pct"/>
            <w:vAlign w:val="bottom"/>
          </w:tcPr>
          <w:p>
            <w:pPr>
              <w:spacing w:after="0" w:line="240"/>
              <w:jc w:val="right"/>
            </w:pPr>
            <w:r>
              <w:rPr>
                <w:sz w:val="18"/>
                <w:rFonts w:ascii="Times New Roman" w:hAnsi="Times New Roman" w:cs="Times New Roman"/>
              </w:rPr>
              <w:t>87.808.479</w:t>
            </w:r>
          </w:p>
        </w:tc>
        <w:tc>
          <w:tcPr>
            <w:tcW w:w="800" w:type="pct"/>
            <w:vAlign w:val="bottom"/>
          </w:tcPr>
          <w:p>
            <w:pPr>
              <w:spacing w:after="0" w:line="240"/>
              <w:jc w:val="right"/>
            </w:pPr>
            <w:r>
              <w:rPr>
                <w:sz w:val="18"/>
                <w:rFonts w:ascii="Times New Roman" w:hAnsi="Times New Roman" w:cs="Times New Roman"/>
              </w:rPr>
              <w:t>21.844.929</w:t>
            </w:r>
          </w:p>
        </w:tc>
        <w:tc>
          <w:tcPr>
            <w:tcW w:w="500" w:type="pct"/>
            <w:vAlign w:val="bottom"/>
          </w:tcPr>
          <w:p>
            <w:pPr>
              <w:spacing w:after="0" w:line="240"/>
              <w:jc w:val="right"/>
            </w:pPr>
            <w:r>
              <w:rPr>
                <w:sz w:val="18"/>
                <w:rFonts w:ascii="Times New Roman" w:hAnsi="Times New Roman" w:cs="Times New Roman"/>
              </w:rPr>
              <w:t>113,9</w:t>
            </w:r>
          </w:p>
        </w:tc>
        <w:tc>
          <w:tcPr>
            <w:tcW w:w="500" w:type="pct"/>
            <w:vAlign w:val="bottom"/>
          </w:tcPr>
          <w:p>
            <w:pPr>
              <w:spacing w:after="0" w:line="240"/>
              <w:jc w:val="right"/>
            </w:pPr>
            <w:r>
              <w:rPr>
                <w:sz w:val="18"/>
                <w:rFonts w:ascii="Times New Roman" w:hAnsi="Times New Roman" w:cs="Times New Roman"/>
              </w:rPr>
              <w:t>24,9</w:t>
            </w:r>
          </w:p>
        </w:tc>
      </w:tr>
      <w:tr>
        <w:tc>
          <w:tcPr>
            <w:tcW w:w="1400" w:type="pct"/>
            <w:vAlign w:val="bottom"/>
          </w:tcPr>
          <w:p>
            <w:pPr>
              <w:spacing w:after="0" w:line="240"/>
              <w:jc w:val="left"/>
            </w:pPr>
            <w:r>
              <w:rPr>
                <w:b/>
                <w:sz w:val="18"/>
                <w:rFonts w:ascii="Times New Roman" w:hAnsi="Times New Roman" w:cs="Times New Roman"/>
              </w:rPr>
              <w:t>UKUPNI RASHODI</w:t>
            </w:r>
          </w:p>
        </w:tc>
        <w:tc>
          <w:tcPr>
            <w:tcW w:w="800" w:type="pct"/>
            <w:vAlign w:val="bottom"/>
          </w:tcPr>
          <w:p>
            <w:pPr>
              <w:spacing w:after="0" w:line="240"/>
              <w:jc w:val="right"/>
            </w:pPr>
            <w:r>
              <w:rPr>
                <w:b/>
                <w:sz w:val="18"/>
                <w:rFonts w:ascii="Times New Roman" w:hAnsi="Times New Roman" w:cs="Times New Roman"/>
              </w:rPr>
              <w:t>297.797.184</w:t>
            </w:r>
          </w:p>
        </w:tc>
        <w:tc>
          <w:tcPr>
            <w:tcW w:w="800" w:type="pct"/>
            <w:vAlign w:val="bottom"/>
          </w:tcPr>
          <w:p>
            <w:pPr>
              <w:spacing w:after="0" w:line="240"/>
              <w:jc w:val="right"/>
            </w:pPr>
            <w:r>
              <w:rPr>
                <w:b/>
                <w:sz w:val="18"/>
                <w:rFonts w:ascii="Times New Roman" w:hAnsi="Times New Roman" w:cs="Times New Roman"/>
              </w:rPr>
              <w:t>959.303.733</w:t>
            </w:r>
          </w:p>
        </w:tc>
        <w:tc>
          <w:tcPr>
            <w:tcW w:w="800" w:type="pct"/>
            <w:vAlign w:val="bottom"/>
          </w:tcPr>
          <w:p>
            <w:pPr>
              <w:spacing w:after="0" w:line="240"/>
              <w:jc w:val="right"/>
            </w:pPr>
            <w:r>
              <w:rPr>
                <w:b/>
                <w:sz w:val="18"/>
                <w:rFonts w:ascii="Times New Roman" w:hAnsi="Times New Roman" w:cs="Times New Roman"/>
              </w:rPr>
              <w:t>343.063.567</w:t>
            </w:r>
          </w:p>
        </w:tc>
        <w:tc>
          <w:tcPr>
            <w:tcW w:w="500" w:type="pct"/>
            <w:vAlign w:val="bottom"/>
          </w:tcPr>
          <w:p>
            <w:pPr>
              <w:spacing w:after="0" w:line="240"/>
              <w:jc w:val="right"/>
            </w:pPr>
            <w:r>
              <w:rPr>
                <w:b/>
                <w:sz w:val="18"/>
                <w:rFonts w:ascii="Times New Roman" w:hAnsi="Times New Roman" w:cs="Times New Roman"/>
              </w:rPr>
              <w:t>115,2</w:t>
            </w:r>
          </w:p>
        </w:tc>
        <w:tc>
          <w:tcPr>
            <w:tcW w:w="500" w:type="pct"/>
            <w:vAlign w:val="bottom"/>
          </w:tcPr>
          <w:p>
            <w:pPr>
              <w:spacing w:after="0" w:line="240"/>
              <w:jc w:val="right"/>
            </w:pPr>
            <w:r>
              <w:rPr>
                <w:b/>
                <w:sz w:val="18"/>
                <w:rFonts w:ascii="Times New Roman" w:hAnsi="Times New Roman" w:cs="Times New Roman"/>
              </w:rPr>
              <w:t>35,8</w:t>
            </w:r>
          </w:p>
        </w:tc>
      </w:tr>
    </w:tbl>
    <w:p>
      <w:pPr>
        <w:spacing w:after="0" w:line="240"/>
      </w:pPr>
    </w:p>
    <w:p>
      <w:pPr>
        <w:spacing w:line="240"/>
        <w:jc w:val="both"/>
      </w:pPr>
      <w:r>
        <w:rPr>
          <w:rFonts w:ascii="Times New Roman" w:hAnsi="Times New Roman" w:cs="Times New Roman"/>
          <w:b/>
          <w:sz w:val="24"/>
        </w:rPr>
        <w:t xml:space="preserve">Rashodi
poslovanja</w:t>
      </w:r>
      <w:r>
        <w:rPr>
          <w:rFonts w:ascii="Times New Roman" w:hAnsi="Times New Roman" w:cs="Times New Roman"/>
          <w:sz w:val="24"/>
        </w:rPr>
        <w:t xml:space="preserve"> izvršeni su u iznosu od 321.218.638,75
EUR, veći su odnosu na 2022. godinu za 42.592.141,85 EUR što je povećanje od
15,29%.</w:t>
      </w:r>
    </w:p>
    <w:p>
      <w:pPr>
        <w:spacing w:line="240"/>
        <w:jc w:val="both"/>
      </w:pPr>
      <w:r>
        <w:rPr>
          <w:rFonts w:ascii="Times New Roman" w:hAnsi="Times New Roman" w:cs="Times New Roman"/>
          <w:b/>
          <w:i/>
          <w:sz w:val="24"/>
        </w:rPr>
        <w:t xml:space="preserve">Rashodi za zaposlen</w:t>
      </w:r>
      <w:r>
        <w:rPr>
          <w:rFonts w:ascii="Times New Roman" w:hAnsi="Times New Roman" w:cs="Times New Roman"/>
          <w:b/>
          <w:sz w:val="24"/>
        </w:rPr>
        <w:t xml:space="preserve">e</w:t>
      </w:r>
      <w:r>
        <w:rPr>
          <w:rFonts w:ascii="Times New Roman" w:hAnsi="Times New Roman" w:cs="Times New Roman"/>
          <w:sz w:val="24"/>
        </w:rPr>
        <w:t xml:space="preserve"> izvršeni su u iznosu 14.835.211,16
EUR s indeksom 50,04 u odnosu na plan, odnosno 10,87% više u odnosu na 2022.
godinu kada su iznosili 13.380.988,26 EUR.</w:t>
      </w:r>
    </w:p>
    <w:p>
      <w:pPr>
        <w:spacing w:line="240"/>
        <w:jc w:val="both"/>
      </w:pPr>
      <w:r>
        <w:rPr>
          <w:rFonts w:ascii="Times New Roman" w:hAnsi="Times New Roman" w:cs="Times New Roman"/>
          <w:b/>
          <w:i/>
          <w:sz w:val="24"/>
        </w:rPr>
        <w:t xml:space="preserve">Materijalni rashodi </w:t>
      </w:r>
      <w:r>
        <w:rPr>
          <w:rFonts w:ascii="Times New Roman" w:hAnsi="Times New Roman" w:cs="Times New Roman"/>
          <w:sz w:val="24"/>
        </w:rPr>
        <w:t xml:space="preserve">izvršeni su u iznosu 78.667.884,02 EUR s indeksom 44,99 u odnosu na plan,
odnosno 37,31% više u odnosu na 2022. kada su iznosili 57.291.840,86 EUR. U
okviru ovih rashoda najveći iznos odnosi se na rashode za usluge tekućeg i
investicijskog održavanja u iznosu od 61.092.213,78 EUR, odnosno 62,85% više u
odnosu na 2022. godinu prvenstveno kroz rashode za redovno održavanje i
obnavljanje vodotoka, vodnih građevina i vodnog dobra, te kroz rashode za
obnavljanje i održavanje detaljnih melioracijskih građevina za odvodnju i
navodnjavanje. Kroz ove rashode izvršene su aktivnosti vezane za dovršetak
sanacije šteta na vodnim građevinama prouzročenih razornim potresima iz 2020.
godine na području Zagrebačke i Sisačko-moslavačke županije, a u svrhu uspostave
funkcionalnog stanja nasipa i zaštite korita vodotoka od erozije i uspostave
funkcionalnog stanja sustava odvodnje uz osiguranje protočnosti.</w:t>
      </w:r>
    </w:p>
    <w:p>
      <w:pPr>
        <w:spacing w:line="240"/>
        <w:jc w:val="both"/>
      </w:pPr>
      <w:r>
        <w:rPr>
          <w:rFonts w:ascii="Times New Roman" w:hAnsi="Times New Roman" w:cs="Times New Roman"/>
          <w:b/>
          <w:i/>
          <w:sz w:val="24"/>
        </w:rPr>
        <w:t xml:space="preserve">Financijski rashodi </w:t>
      </w:r>
      <w:r>
        <w:rPr>
          <w:rFonts w:ascii="Times New Roman" w:hAnsi="Times New Roman" w:cs="Times New Roman"/>
          <w:sz w:val="24"/>
        </w:rPr>
        <w:t xml:space="preserve">izvršeni su u iznosu 1.930.820,50 EUR s indeksom 51,91 u odnosu na plan, a
najvećim dijelom se odnose na otplatu kamata za primljene dugoročne kredite i
zajmove iz ranijih godina u iznosu 1.872.885,20 EUR, a sve sukladno planovima
otplate i uvjetima kreditnog zaduženja.</w:t>
      </w:r>
    </w:p>
    <w:p>
      <w:pPr>
        <w:spacing w:line="240"/>
        <w:jc w:val="both"/>
      </w:pPr>
      <w:r>
        <w:rPr>
          <w:rFonts w:ascii="Times New Roman" w:hAnsi="Times New Roman" w:cs="Times New Roman"/>
          <w:b/>
          <w:i/>
          <w:sz w:val="24"/>
        </w:rPr>
        <w:t xml:space="preserve">Subvencije</w:t>
      </w:r>
      <w:r>
        <w:rPr>
          <w:rFonts w:ascii="Times New Roman" w:hAnsi="Times New Roman" w:cs="Times New Roman"/>
          <w:i/>
          <w:sz w:val="24"/>
        </w:rPr>
        <w:t xml:space="preserve"> </w:t>
      </w:r>
      <w:r>
        <w:rPr>
          <w:rFonts w:ascii="Times New Roman" w:hAnsi="Times New Roman" w:cs="Times New Roman"/>
          <w:sz w:val="24"/>
        </w:rPr>
        <w:t xml:space="preserve">su izvršene u iznosu 105.209,38
EUR, s indeksom 47,16 u odnosu na plan s osnova subvencije trgovačkom društvu
Vodovod d.o.o. Korenica za najam mobilnog uređaja za pročišćavanje otpadnih
voda na području nacionalnog parka Plitvička jezera.</w:t>
      </w:r>
    </w:p>
    <w:p>
      <w:pPr>
        <w:spacing w:line="240"/>
        <w:jc w:val="both"/>
      </w:pPr>
      <w:r>
        <w:rPr>
          <w:rFonts w:ascii="Times New Roman" w:hAnsi="Times New Roman" w:cs="Times New Roman"/>
          <w:b/>
          <w:sz w:val="24"/>
        </w:rPr>
        <w:t xml:space="preserve">Pomoći
dane u inozemstvo i unutar općeg proračuna</w:t>
      </w:r>
      <w:r>
        <w:rPr>
          <w:rFonts w:ascii="Times New Roman" w:hAnsi="Times New Roman" w:cs="Times New Roman"/>
          <w:sz w:val="24"/>
        </w:rPr>
        <w:t xml:space="preserve"> izvršene
su iznosom od 4.732.241,14 EUR s indeksom 30,11 u odnosu na plan, odnosno 318,64%
više u odnosu na 2022. godinu kada su iznosile 1.130.394,04 EUR. Povećanje je s
osnova tekućih pomoći unutar općeg proračuna odnosno prijenosa sredstava za
poslovanje Instituta za vode Josip Juraj Strossmayer koji je započeo s radom
2022. godine.</w:t>
      </w:r>
    </w:p>
    <w:p>
      <w:pPr>
        <w:spacing w:line="240"/>
        <w:jc w:val="both"/>
      </w:pPr>
      <w:r>
        <w:rPr>
          <w:rFonts w:ascii="Times New Roman" w:hAnsi="Times New Roman" w:cs="Times New Roman"/>
          <w:b/>
          <w:i/>
          <w:sz w:val="24"/>
        </w:rPr>
        <w:t xml:space="preserve">Tekuće pomoći unutar općeg proračuna</w:t>
      </w:r>
      <w:r>
        <w:rPr>
          <w:rFonts w:ascii="Times New Roman" w:hAnsi="Times New Roman" w:cs="Times New Roman"/>
          <w:sz w:val="24"/>
        </w:rPr>
        <w:t xml:space="preserve">  izvršene su u iznosu od 4.233.827,42 EUR i to kroz tekuće pomoći Institutu za
vode Josip Juraj Strossmayer u iznosu 4.200.000,00 EUR i kroz sufinanciranje
jedinica lokalne samouprave za revidiranje podataka iz očevidnika koje u ime i
za račun Hrvatskih voda vrše naplatu naknade za uređenje voda u iznosu od
33.827,42 EUR. </w:t>
      </w:r>
    </w:p>
    <w:p>
      <w:pPr>
        <w:spacing w:line="240"/>
        <w:jc w:val="both"/>
      </w:pPr>
      <w:r>
        <w:rPr>
          <w:rFonts w:ascii="Times New Roman" w:hAnsi="Times New Roman" w:cs="Times New Roman"/>
          <w:b/>
          <w:i/>
          <w:sz w:val="24"/>
        </w:rPr>
        <w:t xml:space="preserve">Kapitalne pomoći unutar općeg proračuna </w:t>
      </w:r>
      <w:r>
        <w:rPr>
          <w:rFonts w:ascii="Times New Roman" w:hAnsi="Times New Roman" w:cs="Times New Roman"/>
          <w:sz w:val="24"/>
        </w:rPr>
        <w:t xml:space="preserve">izvršene su iznosom od 211.403,72 EUR, a iste se odnose na izradu projektne
dokumentacije za sustave navodnjavanja u iznosu 22.677,35 EUR,  na
kapitalne rashode i transfere u području zaštite od štetnog djelovanja voda i
navodnjavanja na jadranskom vodnom području i vodnom području rijeke Dunav u
iznosu 54.132,06 EUR za sufinanciranje građevinskih radova oborinske odvodnje i
izgradnje propusta, na sanaciju klizišta u iznosu 34.594,31 EUR, te na
kapitalne pomoći Institutu za vode Josip Juraj Strossmayer u iznosu 100.000,00
EUR. Kapitalne pomoći temeljem prijenosa EU sredstava za projekte iz EU fondova
temeljem odluka o povratu Ministarstva gospodarstva i održivog razvoja za
vodnokomunalne projekte izvršene su u iznosu 287.010,00 EUR.</w:t>
      </w:r>
    </w:p>
    <w:p>
      <w:pPr>
        <w:spacing w:line="240"/>
        <w:jc w:val="both"/>
      </w:pPr>
      <w:r>
        <w:rPr>
          <w:rFonts w:ascii="Times New Roman" w:hAnsi="Times New Roman" w:cs="Times New Roman"/>
          <w:b/>
          <w:i/>
          <w:sz w:val="24"/>
        </w:rPr>
        <w:t xml:space="preserve">Ostali rashodi</w:t>
      </w:r>
      <w:r>
        <w:rPr>
          <w:rFonts w:ascii="Times New Roman" w:hAnsi="Times New Roman" w:cs="Times New Roman"/>
          <w:sz w:val="24"/>
        </w:rPr>
        <w:t xml:space="preserve"> izvršeni
su iznosom 220.947.272,55 EUR s indeksom 34,13 u odnosu na plan, odnosno 7,56%
više u odnosu na 2022. godinu. Odnose se na projekte u okviru programa
investicijskih aktivnosti, a sastoje se od kapitalnih pomoći kreditnim i
ostalim financijskim institucijama te trgovačkim društvima u javnom sektoru u
iznosu 70.531.754,50 EUR i kapitalnih pomoći iz EU sredstava u iznosu od
150.413.191,51 EUR, te tekuće donacije u iznosu 2.326,54 EUR. Ovi rashodi
odnose se na kapitalne pomoći javnim isporučiteljima vodnih usluga u
vodnokomunalnu infrastrukturu u području vodoopskrbe i zaštite voda i mora od
zagađivanja. Izvršenje ovih rashoda je sukladno planiranoj dinamici s
očekivanom značajnijom realizacijom u idućem razdoblju.</w:t>
      </w:r>
    </w:p>
    <w:p>
      <w:pPr>
        <w:spacing w:line="240"/>
        <w:jc w:val="both"/>
      </w:pPr>
      <w:r>
        <w:rPr>
          <w:rFonts w:ascii="Times New Roman" w:hAnsi="Times New Roman" w:cs="Times New Roman"/>
          <w:b/>
          <w:sz w:val="24"/>
        </w:rPr>
        <w:t xml:space="preserve">Rashodi
za nabavu nefinancijske imovine</w:t>
      </w:r>
      <w:r>
        <w:rPr>
          <w:rFonts w:ascii="Times New Roman" w:hAnsi="Times New Roman" w:cs="Times New Roman"/>
          <w:sz w:val="24"/>
        </w:rPr>
        <w:t xml:space="preserve"> izvršeni su u
iznosu 21.844.928,68 EUR i veći su u odnosu na 2022. za 2.674.241,31 EUR što je
povećanje od 13,95%.</w:t>
      </w:r>
    </w:p>
    <w:p>
      <w:pPr>
        <w:spacing w:line="240"/>
        <w:jc w:val="both"/>
      </w:pPr>
      <w:r>
        <w:rPr>
          <w:rFonts w:ascii="Times New Roman" w:hAnsi="Times New Roman" w:cs="Times New Roman"/>
          <w:b/>
          <w:i/>
          <w:sz w:val="24"/>
        </w:rPr>
        <w:t xml:space="preserve">Rashodi za materijalnu imovinu – prirodna bogatstva </w:t>
      </w:r>
      <w:r>
        <w:rPr>
          <w:rFonts w:ascii="Times New Roman" w:hAnsi="Times New Roman" w:cs="Times New Roman"/>
          <w:sz w:val="24"/>
        </w:rPr>
        <w:t xml:space="preserve">- otkupi zemljišta za izgradnju zaštitno regulacijskih građevina za zaštitu od
štetnog djelovanja izvršeni su iznosom od 1.265.168,97 EUR. Ulaganja u </w:t>
      </w:r>
      <w:r>
        <w:rPr>
          <w:rFonts w:ascii="Times New Roman" w:hAnsi="Times New Roman" w:cs="Times New Roman"/>
          <w:b/>
          <w:i/>
          <w:sz w:val="24"/>
        </w:rPr>
        <w:t xml:space="preserve">poslovne
objekte</w:t>
      </w:r>
      <w:r>
        <w:rPr>
          <w:rFonts w:ascii="Times New Roman" w:hAnsi="Times New Roman" w:cs="Times New Roman"/>
          <w:sz w:val="24"/>
        </w:rPr>
        <w:t xml:space="preserve"> izvršena su iznosom od 968.886,73 EUR, 71,55% više u odnosu na
2022. godinu. </w:t>
      </w:r>
    </w:p>
    <w:p>
      <w:pPr>
        <w:spacing w:line="240"/>
        <w:jc w:val="both"/>
      </w:pPr>
      <w:r>
        <w:rPr>
          <w:rFonts w:ascii="Times New Roman" w:hAnsi="Times New Roman" w:cs="Times New Roman"/>
          <w:b/>
          <w:i/>
          <w:sz w:val="24"/>
        </w:rPr>
        <w:t xml:space="preserve">Rashodi za ostale građevinske objekte </w:t>
      </w:r>
      <w:r>
        <w:rPr>
          <w:rFonts w:ascii="Times New Roman" w:hAnsi="Times New Roman" w:cs="Times New Roman"/>
          <w:sz w:val="24"/>
        </w:rPr>
        <w:t xml:space="preserve">izvršeni su u iznosu od 7.162.174,72 EUR za projekte navodnjavanja u iznosu
254.333,40 EUR, te kroz ulaganje u projekte zaštite od štetnog djelovanja voda
- EU projekt Konkurentnost i kohezija 2014 - 2020 Prioritet 5 i 6 u iznosu
6.907.841,32 EUR (Modernizacija lijevoobalnih savskih nasipa od Račinovaca do
Nove Gradiške, Projekt zaštite od poplava grada Ogulina, Projekt unapređenja
negrađevinskih mjera upravljanja rizicima od poplava, te Projekt zaštite od
poplava karlovačko sisačkog područja). Izvršenje ovih rashoda je sukladno
planiranoj dinamici s očekivanom značajnijom realizacijom u idućem razdoblju.</w:t>
      </w:r>
    </w:p>
    <w:p>
      <w:pPr>
        <w:spacing w:line="240"/>
        <w:jc w:val="both"/>
      </w:pPr>
      <w:r>
        <w:rPr>
          <w:rFonts w:ascii="Times New Roman" w:hAnsi="Times New Roman" w:cs="Times New Roman"/>
          <w:b/>
          <w:i/>
          <w:sz w:val="24"/>
        </w:rPr>
        <w:t xml:space="preserve">Rashodi za postrojenja i opremu </w:t>
      </w:r>
      <w:r>
        <w:rPr>
          <w:rFonts w:ascii="Times New Roman" w:hAnsi="Times New Roman" w:cs="Times New Roman"/>
          <w:sz w:val="24"/>
        </w:rPr>
        <w:t xml:space="preserve">izvršeni
su iznosom od 2.287.251,44 EUR, a odnose se na rashode za unapređenje sustava
za hidrološko praćenje površinskih voda te uspostavu nadzornog upravljačkog
sustava na hidrološkim postajama u okviru EU projekta unapređenja negrađevinskih
mjera upravljanja rizicima od poplava u iznosu 1.747.664,20 EUR, dok se razlika
u iznosu 539.587,24 EUR odnosi na nabavku uredske opreme i namještaja te komunikacijske
opreme. </w:t>
      </w:r>
    </w:p>
    <w:p>
      <w:pPr>
        <w:spacing w:line="240"/>
        <w:jc w:val="both"/>
      </w:pPr>
      <w:r>
        <w:rPr>
          <w:rFonts w:ascii="Times New Roman" w:hAnsi="Times New Roman" w:cs="Times New Roman"/>
          <w:b/>
          <w:i/>
          <w:sz w:val="24"/>
        </w:rPr>
        <w:t xml:space="preserve">Ulaganja u računalne programe </w:t>
      </w:r>
      <w:r>
        <w:rPr>
          <w:rFonts w:ascii="Times New Roman" w:hAnsi="Times New Roman" w:cs="Times New Roman"/>
          <w:sz w:val="24"/>
        </w:rPr>
        <w:t xml:space="preserve">izvršena
su u iznosu od 405.495,48 EUR.</w:t>
      </w:r>
    </w:p>
    <w:p>
      <w:pPr>
        <w:spacing w:line="240"/>
        <w:jc w:val="both"/>
      </w:pPr>
      <w:r>
        <w:rPr>
          <w:rFonts w:ascii="Times New Roman" w:hAnsi="Times New Roman" w:cs="Times New Roman"/>
          <w:sz w:val="24"/>
        </w:rPr>
        <w:t xml:space="preserve">Najveći iznos rashoda za nabavu nefinancijske
imovine odnosi se na </w:t>
      </w:r>
      <w:r>
        <w:rPr>
          <w:rFonts w:ascii="Times New Roman" w:hAnsi="Times New Roman" w:cs="Times New Roman"/>
          <w:b/>
          <w:sz w:val="24"/>
        </w:rPr>
        <w:t xml:space="preserve">rashode za dodatna
ulaganja na nefinancijskoj imovini</w:t>
      </w:r>
      <w:r>
        <w:rPr>
          <w:rFonts w:ascii="Times New Roman" w:hAnsi="Times New Roman" w:cs="Times New Roman"/>
          <w:b/>
          <w:i/>
          <w:sz w:val="24"/>
        </w:rPr>
        <w:t xml:space="preserve"> </w:t>
      </w:r>
      <w:r>
        <w:rPr>
          <w:rFonts w:ascii="Times New Roman" w:hAnsi="Times New Roman" w:cs="Times New Roman"/>
          <w:sz w:val="24"/>
        </w:rPr>
        <w:t xml:space="preserve">–
dodatna ulaganja na građevinskim objektima koja su izvršena u iznosu od
9.755.951,34 EUR, a odnose se na razvoj sustava zaštite obrane od poplava i
drugih oblika štetnog djelovanja voda, te sanacije i rekonstrukcije vodnih
građevina i građevina osnovne melioracijske odvodnje (brana, nasipa, ustava,
obaloutvrda, retencija, akumulacija i dr.).</w:t>
      </w:r>
      <w:r>
        <w:rPr>
          <w:rFonts w:ascii="Times New Roman" w:hAnsi="Times New Roman" w:cs="Times New Roman"/>
          <w:sz w:val="24"/>
        </w:rPr>
        <w:br/>
      </w:r>
    </w:p>
    <w:p>
      <w:pPr>
        <w:spacing w:line="360"/>
        <w:jc w:val="left"/>
      </w:pPr>
      <w:r>
        <w:rPr>
          <w:b/>
          <w:u w:val="single"/>
          <w:sz w:val="24"/>
          <w:rFonts w:ascii="Times New Roman" w:hAnsi="Times New Roman" w:cs="Times New Roman"/>
        </w:rPr>
        <w:br/>
        <w:t xml:space="preserve">RAČUN FINANCIRANJA</w:t>
      </w:r>
    </w:p>
    <w:p>
      <w:pPr>
        <w:spacing w:line="360"/>
        <w:jc w:val="left"/>
      </w:pPr>
      <w:r>
        <w:rPr>
          <w:b/>
          <w:u w:val="single"/>
          <w:sz w:val="24"/>
          <w:rFonts w:ascii="Times New Roman" w:hAnsi="Times New Roman" w:cs="Times New Roman"/>
        </w:rPr>
        <w:t xml:space="preserve">Račun prihoda i rashoda</w:t>
      </w:r>
    </w:p>
    <w:tbl>
      <w:tblPr>
        <w:tblW w:w="4850" w:type="pct"/>
        <w:tblBorders>
          <w:top w:val="single" w:sz="5"/>
          <w:bottom w:val="single" w:sz="5"/>
          <w:left w:val="single" w:sz="5"/>
          <w:right w:val="single" w:sz="5"/>
          <w:insideH w:val="single" w:sz="5"/>
          <w:insideV w:val="single" w:sz="5"/>
        </w:tblBorders>
        <w:tblCellMar>
          <w:top w:w="0" w:type="dxa"/>
          <w:start w:w="100" w:type="dxa"/>
          <w:bottom w:w="0" w:type="dxa"/>
          <w:end w:w="100" w:type="dxa"/>
        </w:tblCellMar>
      </w:tblPr>
      <w:tr>
        <w:tc>
          <w:tcPr>
            <w:tcW w:w="2500" w:type="pct"/>
            <w:vAlign w:val="center"/>
            <w:shd w:val="clear" w:color="auto" w:fill="#bcdffb"/>
          </w:tcPr>
          <w:p>
            <w:pPr>
              <w:spacing w:after="0" w:line="240"/>
              <w:jc w:val="center"/>
            </w:pPr>
            <w:r>
              <w:rPr>
                <w:b/>
                <w:sz w:val="18"/>
                <w:rFonts w:ascii="Times New Roman" w:hAnsi="Times New Roman" w:cs="Times New Roman"/>
              </w:rPr>
              <w:t>BROJČANA OZNAKA I NAZIV</w:t>
            </w:r>
          </w:p>
        </w:tc>
        <w:tc>
          <w:tcPr>
            <w:tcW w:w="1000" w:type="pct"/>
            <w:vAlign w:val="center"/>
            <w:shd w:val="clear" w:color="auto" w:fill="#bcdffb"/>
          </w:tcPr>
          <w:p>
            <w:pPr>
              <w:spacing w:after="0" w:line="240"/>
              <w:jc w:val="center"/>
            </w:pPr>
            <w:r>
              <w:rPr>
                <w:b/>
                <w:sz w:val="18"/>
                <w:rFonts w:ascii="Times New Roman" w:hAnsi="Times New Roman" w:cs="Times New Roman"/>
              </w:rPr>
              <w:t>REBALANS</w:t>
              <w:br/>
              <w:t>2023.</w:t>
            </w:r>
          </w:p>
        </w:tc>
        <w:tc>
          <w:tcPr>
            <w:tcW w:w="1000" w:type="pct"/>
            <w:vAlign w:val="center"/>
            <w:shd w:val="clear" w:color="auto" w:fill="#bcdffb"/>
          </w:tcPr>
          <w:p>
            <w:pPr>
              <w:spacing w:after="0" w:line="240"/>
              <w:jc w:val="center"/>
            </w:pPr>
            <w:r>
              <w:rPr>
                <w:b/>
                <w:sz w:val="18"/>
                <w:rFonts w:ascii="Times New Roman" w:hAnsi="Times New Roman" w:cs="Times New Roman"/>
              </w:rPr>
              <w:t>OSTVARENJE/</w:t>
              <w:br/>
              <w:t>IZVRŠENJE 1.-6. 2023.</w:t>
            </w:r>
          </w:p>
        </w:tc>
        <w:tc>
          <w:tcPr>
            <w:tcW w:w="800" w:type="pct"/>
            <w:vAlign w:val="center"/>
            <w:shd w:val="clear" w:color="auto" w:fill="#bcdffb"/>
          </w:tcPr>
          <w:p>
            <w:pPr>
              <w:spacing w:after="0" w:line="240"/>
              <w:jc w:val="center"/>
            </w:pPr>
            <w:r>
              <w:rPr>
                <w:b/>
                <w:sz w:val="18"/>
                <w:rFonts w:ascii="Times New Roman" w:hAnsi="Times New Roman" w:cs="Times New Roman"/>
              </w:rPr>
              <w:t>INDEKS</w:t>
            </w:r>
          </w:p>
        </w:tc>
      </w:tr>
      <w:tr>
        <w:tc>
          <w:tcPr>
            <w:tcW w:w="2500" w:type="pct"/>
            <w:vAlign w:val="center"/>
            <w:shd w:val="clear" w:color="auto" w:fill="#bcdffb"/>
          </w:tcPr>
          <w:p>
            <w:pPr>
              <w:spacing w:after="0" w:line="240"/>
              <w:jc w:val="center"/>
            </w:pPr>
            <w:r>
              <w:rPr>
                <w:sz w:val="14"/>
                <w:rFonts w:ascii="Times New Roman" w:hAnsi="Times New Roman" w:cs="Times New Roman"/>
              </w:rPr>
              <w:t>1</w:t>
            </w:r>
          </w:p>
        </w:tc>
        <w:tc>
          <w:tcPr>
            <w:tcW w:w="1000" w:type="pct"/>
            <w:vAlign w:val="center"/>
            <w:shd w:val="clear" w:color="auto" w:fill="#bcdffb"/>
          </w:tcPr>
          <w:p>
            <w:pPr>
              <w:spacing w:after="0" w:line="240"/>
              <w:jc w:val="center"/>
            </w:pPr>
            <w:r>
              <w:rPr>
                <w:sz w:val="14"/>
                <w:rFonts w:ascii="Times New Roman" w:hAnsi="Times New Roman" w:cs="Times New Roman"/>
              </w:rPr>
              <w:t>2</w:t>
            </w:r>
          </w:p>
        </w:tc>
        <w:tc>
          <w:tcPr>
            <w:tcW w:w="1000" w:type="pct"/>
            <w:vAlign w:val="center"/>
            <w:shd w:val="clear" w:color="auto" w:fill="#bcdffb"/>
          </w:tcPr>
          <w:p>
            <w:pPr>
              <w:spacing w:after="0" w:line="240"/>
              <w:jc w:val="center"/>
            </w:pPr>
            <w:r>
              <w:rPr>
                <w:sz w:val="14"/>
                <w:rFonts w:ascii="Times New Roman" w:hAnsi="Times New Roman" w:cs="Times New Roman"/>
              </w:rPr>
              <w:t>3</w:t>
            </w:r>
          </w:p>
        </w:tc>
        <w:tc>
          <w:tcPr>
            <w:tcW w:w="800" w:type="pct"/>
            <w:vAlign w:val="center"/>
            <w:shd w:val="clear" w:color="auto" w:fill="#bcdffb"/>
          </w:tcPr>
          <w:p>
            <w:pPr>
              <w:spacing w:after="0" w:line="240"/>
              <w:jc w:val="center"/>
            </w:pPr>
            <w:r>
              <w:rPr>
                <w:sz w:val="14"/>
                <w:rFonts w:ascii="Times New Roman" w:hAnsi="Times New Roman" w:cs="Times New Roman"/>
              </w:rPr>
              <w:t>4=3/2</w:t>
            </w:r>
          </w:p>
        </w:tc>
      </w:tr>
      <w:tr>
        <w:tc>
          <w:tcPr>
            <w:tcW w:w="2500" w:type="pct"/>
            <w:vAlign w:val="center"/>
          </w:tcPr>
          <w:p>
            <w:pPr>
              <w:spacing w:after="0" w:line="240"/>
              <w:jc w:val="left"/>
            </w:pPr>
            <w:r>
              <w:rPr>
                <w:sz w:val="18"/>
                <w:rFonts w:ascii="Times New Roman" w:hAnsi="Times New Roman" w:cs="Times New Roman"/>
              </w:rPr>
              <w:t>UKUPNI PRIHODI</w:t>
            </w:r>
          </w:p>
        </w:tc>
        <w:tc>
          <w:tcPr>
            <w:tcW w:w="1000" w:type="pct"/>
            <w:vAlign w:val="bottom"/>
          </w:tcPr>
          <w:p>
            <w:pPr>
              <w:spacing w:after="0" w:line="240"/>
              <w:jc w:val="right"/>
            </w:pPr>
            <w:r>
              <w:rPr>
                <w:sz w:val="18"/>
                <w:rFonts w:ascii="Times New Roman" w:hAnsi="Times New Roman" w:cs="Times New Roman"/>
              </w:rPr>
              <w:t>918.840.547</w:t>
            </w:r>
          </w:p>
        </w:tc>
        <w:tc>
          <w:tcPr>
            <w:tcW w:w="1000" w:type="pct"/>
            <w:vAlign w:val="bottom"/>
          </w:tcPr>
          <w:p>
            <w:pPr>
              <w:spacing w:after="0" w:line="240"/>
              <w:jc w:val="right"/>
            </w:pPr>
            <w:r>
              <w:rPr>
                <w:sz w:val="18"/>
                <w:rFonts w:ascii="Times New Roman" w:hAnsi="Times New Roman" w:cs="Times New Roman"/>
              </w:rPr>
              <w:t>349.164.397</w:t>
            </w:r>
          </w:p>
        </w:tc>
        <w:tc>
          <w:tcPr>
            <w:tcW w:w="800" w:type="pct"/>
            <w:vAlign w:val="bottom"/>
          </w:tcPr>
          <w:p>
            <w:pPr>
              <w:spacing w:after="0" w:line="240"/>
              <w:jc w:val="right"/>
            </w:pPr>
            <w:r>
              <w:rPr>
                <w:sz w:val="18"/>
                <w:rFonts w:ascii="Times New Roman" w:hAnsi="Times New Roman" w:cs="Times New Roman"/>
              </w:rPr>
              <w:t>38,0</w:t>
            </w:r>
          </w:p>
        </w:tc>
      </w:tr>
      <w:tr>
        <w:tc>
          <w:tcPr>
            <w:tcW w:w="2500" w:type="pct"/>
            <w:vAlign w:val="bottom"/>
          </w:tcPr>
          <w:p>
            <w:pPr>
              <w:spacing w:after="0" w:line="240"/>
              <w:jc w:val="left"/>
            </w:pPr>
            <w:r>
              <w:rPr>
                <w:sz w:val="18"/>
                <w:rFonts w:ascii="Times New Roman" w:hAnsi="Times New Roman" w:cs="Times New Roman"/>
              </w:rPr>
              <w:t>UKUPNI RASHODI</w:t>
            </w:r>
          </w:p>
        </w:tc>
        <w:tc>
          <w:tcPr>
            <w:tcW w:w="1000" w:type="pct"/>
            <w:vAlign w:val="bottom"/>
          </w:tcPr>
          <w:p>
            <w:pPr>
              <w:spacing w:after="0" w:line="240"/>
              <w:jc w:val="right"/>
            </w:pPr>
            <w:r>
              <w:rPr>
                <w:sz w:val="18"/>
                <w:rFonts w:ascii="Times New Roman" w:hAnsi="Times New Roman" w:cs="Times New Roman"/>
              </w:rPr>
              <w:t>959.303.733</w:t>
            </w:r>
          </w:p>
        </w:tc>
        <w:tc>
          <w:tcPr>
            <w:tcW w:w="1000" w:type="pct"/>
            <w:vAlign w:val="bottom"/>
          </w:tcPr>
          <w:p>
            <w:pPr>
              <w:spacing w:after="0" w:line="240"/>
              <w:jc w:val="right"/>
            </w:pPr>
            <w:r>
              <w:rPr>
                <w:sz w:val="18"/>
                <w:rFonts w:ascii="Times New Roman" w:hAnsi="Times New Roman" w:cs="Times New Roman"/>
              </w:rPr>
              <w:t>343.063.567</w:t>
            </w:r>
          </w:p>
        </w:tc>
        <w:tc>
          <w:tcPr>
            <w:tcW w:w="800" w:type="pct"/>
            <w:vAlign w:val="bottom"/>
          </w:tcPr>
          <w:p>
            <w:pPr>
              <w:spacing w:after="0" w:line="240"/>
              <w:jc w:val="right"/>
            </w:pPr>
            <w:r>
              <w:rPr>
                <w:sz w:val="18"/>
                <w:rFonts w:ascii="Times New Roman" w:hAnsi="Times New Roman" w:cs="Times New Roman"/>
              </w:rPr>
              <w:t>35,8</w:t>
            </w:r>
          </w:p>
        </w:tc>
      </w:tr>
      <w:tr>
        <w:tc>
          <w:tcPr>
            <w:tcW w:w="2500" w:type="pct"/>
            <w:vAlign w:val="bottom"/>
          </w:tcPr>
          <w:p>
            <w:pPr>
              <w:spacing w:after="0" w:line="240"/>
              <w:jc w:val="left"/>
            </w:pPr>
            <w:r>
              <w:rPr>
                <w:b/>
                <w:sz w:val="18"/>
                <w:rFonts w:ascii="Times New Roman" w:hAnsi="Times New Roman" w:cs="Times New Roman"/>
              </w:rPr>
              <w:t>RAZLIKA - VIŠAK/MANJAK</w:t>
            </w:r>
          </w:p>
        </w:tc>
        <w:tc>
          <w:tcPr>
            <w:tcW w:w="1000" w:type="pct"/>
            <w:vAlign w:val="bottom"/>
          </w:tcPr>
          <w:p>
            <w:pPr>
              <w:spacing w:after="0" w:line="240"/>
              <w:jc w:val="right"/>
            </w:pPr>
            <w:r>
              <w:rPr>
                <w:b/>
                <w:sz w:val="18"/>
                <w:rFonts w:ascii="Times New Roman" w:hAnsi="Times New Roman" w:cs="Times New Roman"/>
              </w:rPr>
              <w:t>-40.463.186</w:t>
            </w:r>
          </w:p>
        </w:tc>
        <w:tc>
          <w:tcPr>
            <w:tcW w:w="800" w:type="pct"/>
            <w:vAlign w:val="bottom"/>
          </w:tcPr>
          <w:p>
            <w:pPr>
              <w:spacing w:after="0" w:line="240"/>
              <w:jc w:val="right"/>
            </w:pPr>
            <w:r>
              <w:rPr>
                <w:b/>
                <w:sz w:val="18"/>
                <w:rFonts w:ascii="Times New Roman" w:hAnsi="Times New Roman" w:cs="Times New Roman"/>
              </w:rPr>
              <w:t>6.100.830</w:t>
            </w:r>
          </w:p>
        </w:tc>
        <w:tc>
          <w:tcPr>
            <w:tcW w:w="800" w:type="pct"/>
            <w:vAlign w:val="bottom"/>
          </w:tcPr>
          <w:p>
            <w:pPr>
              <w:spacing w:after="0" w:line="240"/>
              <w:jc w:val="right"/>
            </w:pPr>
            <w:r>
              <w:rPr>
                <w:b/>
                <w:sz w:val="18"/>
                <w:rFonts w:ascii="Times New Roman" w:hAnsi="Times New Roman" w:cs="Times New Roman"/>
              </w:rPr>
              <w:t>-15,1</w:t>
            </w:r>
          </w:p>
        </w:tc>
      </w:tr>
    </w:tbl>
    <w:p>
      <w:pPr>
        <w:spacing w:after="0" w:line="240"/>
      </w:pPr>
    </w:p>
    <w:p>
      <w:pPr>
        <w:spacing w:line="360"/>
        <w:jc w:val="left"/>
      </w:pPr>
      <w:r>
        <w:rPr>
          <w:b/>
          <w:u w:val="single"/>
          <w:sz w:val="24"/>
          <w:rFonts w:ascii="Times New Roman" w:hAnsi="Times New Roman" w:cs="Times New Roman"/>
        </w:rPr>
        <w:t xml:space="preserve">Račun financiranja</w:t>
      </w:r>
    </w:p>
    <w:tbl>
      <w:tblPr>
        <w:tblW w:w="4850" w:type="pct"/>
        <w:tblBorders>
          <w:top w:val="single" w:sz="5"/>
          <w:bottom w:val="single" w:sz="5"/>
          <w:left w:val="single" w:sz="5"/>
          <w:right w:val="single" w:sz="5"/>
          <w:insideH w:val="single" w:sz="5"/>
          <w:insideV w:val="single" w:sz="5"/>
        </w:tblBorders>
        <w:tblCellMar>
          <w:top w:w="0" w:type="dxa"/>
          <w:start w:w="100" w:type="dxa"/>
          <w:bottom w:w="0" w:type="dxa"/>
          <w:end w:w="100" w:type="dxa"/>
        </w:tblCellMar>
      </w:tblPr>
      <w:tr>
        <w:tc>
          <w:tcPr>
            <w:tcW w:w="2500" w:type="pct"/>
            <w:vAlign w:val="center"/>
            <w:shd w:val="clear" w:color="auto" w:fill="#bcdffb"/>
          </w:tcPr>
          <w:p>
            <w:pPr>
              <w:spacing w:after="0" w:line="240"/>
              <w:jc w:val="center"/>
            </w:pPr>
            <w:r>
              <w:rPr>
                <w:b/>
                <w:sz w:val="18"/>
                <w:rFonts w:ascii="Times New Roman" w:hAnsi="Times New Roman" w:cs="Times New Roman"/>
              </w:rPr>
              <w:t>BROJČANA OZNAKA I NAZIV</w:t>
            </w:r>
          </w:p>
        </w:tc>
        <w:tc>
          <w:tcPr>
            <w:tcW w:w="1000" w:type="pct"/>
            <w:vAlign w:val="center"/>
            <w:shd w:val="clear" w:color="auto" w:fill="#bcdffb"/>
          </w:tcPr>
          <w:p>
            <w:pPr>
              <w:spacing w:after="0" w:line="240"/>
              <w:jc w:val="center"/>
            </w:pPr>
            <w:r>
              <w:rPr>
                <w:b/>
                <w:sz w:val="18"/>
                <w:rFonts w:ascii="Times New Roman" w:hAnsi="Times New Roman" w:cs="Times New Roman"/>
              </w:rPr>
              <w:t>REBALANS</w:t>
              <w:br/>
              <w:t>2023.</w:t>
            </w:r>
          </w:p>
        </w:tc>
        <w:tc>
          <w:tcPr>
            <w:tcW w:w="1000" w:type="pct"/>
            <w:vAlign w:val="center"/>
            <w:shd w:val="clear" w:color="auto" w:fill="#bcdffb"/>
          </w:tcPr>
          <w:p>
            <w:pPr>
              <w:spacing w:after="0" w:line="240"/>
              <w:jc w:val="center"/>
            </w:pPr>
            <w:r>
              <w:rPr>
                <w:b/>
                <w:sz w:val="18"/>
                <w:rFonts w:ascii="Times New Roman" w:hAnsi="Times New Roman" w:cs="Times New Roman"/>
              </w:rPr>
              <w:t>OSTVARENJE/</w:t>
              <w:br/>
              <w:t>IZVRŠENJE 1.-6. 2023.</w:t>
            </w:r>
          </w:p>
        </w:tc>
        <w:tc>
          <w:tcPr>
            <w:tcW w:w="800" w:type="pct"/>
            <w:vAlign w:val="center"/>
            <w:shd w:val="clear" w:color="auto" w:fill="#bcdffb"/>
          </w:tcPr>
          <w:p>
            <w:pPr>
              <w:spacing w:after="0" w:line="240"/>
              <w:jc w:val="center"/>
            </w:pPr>
            <w:r>
              <w:rPr>
                <w:b/>
                <w:sz w:val="18"/>
                <w:rFonts w:ascii="Times New Roman" w:hAnsi="Times New Roman" w:cs="Times New Roman"/>
              </w:rPr>
              <w:t>INDEKS</w:t>
            </w:r>
          </w:p>
        </w:tc>
      </w:tr>
      <w:tr>
        <w:tc>
          <w:tcPr>
            <w:tcW w:w="2500" w:type="pct"/>
            <w:vAlign w:val="center"/>
            <w:shd w:val="clear" w:color="auto" w:fill="#bcdffb"/>
          </w:tcPr>
          <w:p>
            <w:pPr>
              <w:spacing w:after="0" w:line="240"/>
              <w:jc w:val="center"/>
            </w:pPr>
            <w:r>
              <w:rPr>
                <w:sz w:val="14"/>
                <w:rFonts w:ascii="Times New Roman" w:hAnsi="Times New Roman" w:cs="Times New Roman"/>
              </w:rPr>
              <w:t>1</w:t>
            </w:r>
          </w:p>
        </w:tc>
        <w:tc>
          <w:tcPr>
            <w:tcW w:w="1000" w:type="pct"/>
            <w:vAlign w:val="center"/>
            <w:shd w:val="clear" w:color="auto" w:fill="#bcdffb"/>
          </w:tcPr>
          <w:p>
            <w:pPr>
              <w:spacing w:after="0" w:line="240"/>
              <w:jc w:val="center"/>
            </w:pPr>
            <w:r>
              <w:rPr>
                <w:sz w:val="14"/>
                <w:rFonts w:ascii="Times New Roman" w:hAnsi="Times New Roman" w:cs="Times New Roman"/>
              </w:rPr>
              <w:t>2</w:t>
            </w:r>
          </w:p>
        </w:tc>
        <w:tc>
          <w:tcPr>
            <w:tcW w:w="1000" w:type="pct"/>
            <w:vAlign w:val="center"/>
            <w:shd w:val="clear" w:color="auto" w:fill="#bcdffb"/>
          </w:tcPr>
          <w:p>
            <w:pPr>
              <w:spacing w:after="0" w:line="240"/>
              <w:jc w:val="center"/>
            </w:pPr>
            <w:r>
              <w:rPr>
                <w:sz w:val="14"/>
                <w:rFonts w:ascii="Times New Roman" w:hAnsi="Times New Roman" w:cs="Times New Roman"/>
              </w:rPr>
              <w:t>3</w:t>
            </w:r>
          </w:p>
        </w:tc>
        <w:tc>
          <w:tcPr>
            <w:tcW w:w="800" w:type="pct"/>
            <w:vAlign w:val="center"/>
            <w:shd w:val="clear" w:color="auto" w:fill="#bcdffb"/>
          </w:tcPr>
          <w:p>
            <w:pPr>
              <w:spacing w:after="0" w:line="240"/>
              <w:jc w:val="center"/>
            </w:pPr>
            <w:r>
              <w:rPr>
                <w:sz w:val="14"/>
                <w:rFonts w:ascii="Times New Roman" w:hAnsi="Times New Roman" w:cs="Times New Roman"/>
              </w:rPr>
              <w:t>4=3/2</w:t>
            </w:r>
          </w:p>
        </w:tc>
      </w:tr>
      <w:tr>
        <w:tc>
          <w:tcPr>
            <w:tcW w:w="2500" w:type="pct"/>
            <w:vAlign w:val="center"/>
          </w:tcPr>
          <w:p>
            <w:pPr>
              <w:spacing w:after="0" w:line="240"/>
              <w:jc w:val="left"/>
            </w:pPr>
            <w:r>
              <w:rPr>
                <w:sz w:val="18"/>
                <w:rFonts w:ascii="Times New Roman" w:hAnsi="Times New Roman" w:cs="Times New Roman"/>
              </w:rPr>
              <w:t>8 PRIMICI OD FINANCIJSKE IMOVINE I ZADUŽIVANJA</w:t>
            </w:r>
          </w:p>
        </w:tc>
        <w:tc>
          <w:tcPr>
            <w:tcW w:w="1000" w:type="pct"/>
            <w:vAlign w:val="bottom"/>
          </w:tcPr>
          <w:p>
            <w:pPr>
              <w:spacing w:after="0" w:line="240"/>
              <w:jc w:val="right"/>
            </w:pPr>
            <w:r>
              <w:rPr>
                <w:sz w:val="18"/>
                <w:rFonts w:ascii="Times New Roman" w:hAnsi="Times New Roman" w:cs="Times New Roman"/>
              </w:rPr>
              <w:t>79.633.685</w:t>
            </w:r>
          </w:p>
        </w:tc>
        <w:tc>
          <w:tcPr>
            <w:tcW w:w="1000" w:type="pct"/>
            <w:vAlign w:val="bottom"/>
          </w:tcPr>
          <w:p>
            <w:pPr>
              <w:spacing w:after="0" w:line="240"/>
              <w:jc w:val="right"/>
            </w:pPr>
            <w:r>
              <w:rPr>
                <w:sz w:val="18"/>
                <w:rFonts w:ascii="Times New Roman" w:hAnsi="Times New Roman" w:cs="Times New Roman"/>
              </w:rPr>
              <w:t>25.000.000</w:t>
            </w:r>
          </w:p>
        </w:tc>
        <w:tc>
          <w:tcPr>
            <w:tcW w:w="800" w:type="pct"/>
            <w:vAlign w:val="bottom"/>
          </w:tcPr>
          <w:p>
            <w:pPr>
              <w:spacing w:after="0" w:line="240"/>
              <w:jc w:val="right"/>
            </w:pPr>
            <w:r>
              <w:rPr>
                <w:sz w:val="18"/>
                <w:rFonts w:ascii="Times New Roman" w:hAnsi="Times New Roman" w:cs="Times New Roman"/>
              </w:rPr>
              <w:t>31,4</w:t>
            </w:r>
          </w:p>
        </w:tc>
      </w:tr>
      <w:tr>
        <w:tc>
          <w:tcPr>
            <w:tcW w:w="2500" w:type="pct"/>
            <w:vAlign w:val="bottom"/>
          </w:tcPr>
          <w:p>
            <w:pPr>
              <w:spacing w:after="0" w:line="240"/>
              <w:jc w:val="left"/>
            </w:pPr>
            <w:r>
              <w:rPr>
                <w:sz w:val="18"/>
                <w:rFonts w:ascii="Times New Roman" w:hAnsi="Times New Roman" w:cs="Times New Roman"/>
              </w:rPr>
              <w:t>5 IZDACI ZA FINANCIJSKU IMOVINU I OTPLATE ZAJMOVA</w:t>
            </w:r>
          </w:p>
        </w:tc>
        <w:tc>
          <w:tcPr>
            <w:tcW w:w="1000" w:type="pct"/>
            <w:vAlign w:val="bottom"/>
          </w:tcPr>
          <w:p>
            <w:pPr>
              <w:spacing w:after="0" w:line="240"/>
              <w:jc w:val="right"/>
            </w:pPr>
            <w:r>
              <w:rPr>
                <w:sz w:val="18"/>
                <w:rFonts w:ascii="Times New Roman" w:hAnsi="Times New Roman" w:cs="Times New Roman"/>
              </w:rPr>
              <w:t>46.585.706</w:t>
            </w:r>
          </w:p>
        </w:tc>
        <w:tc>
          <w:tcPr>
            <w:tcW w:w="1000" w:type="pct"/>
            <w:vAlign w:val="bottom"/>
          </w:tcPr>
          <w:p>
            <w:pPr>
              <w:spacing w:after="0" w:line="240"/>
              <w:jc w:val="right"/>
            </w:pPr>
            <w:r>
              <w:rPr>
                <w:sz w:val="18"/>
                <w:rFonts w:ascii="Times New Roman" w:hAnsi="Times New Roman" w:cs="Times New Roman"/>
              </w:rPr>
              <w:t>26.135.598</w:t>
            </w:r>
          </w:p>
        </w:tc>
        <w:tc>
          <w:tcPr>
            <w:tcW w:w="800" w:type="pct"/>
            <w:vAlign w:val="bottom"/>
          </w:tcPr>
          <w:p>
            <w:pPr>
              <w:spacing w:after="0" w:line="240"/>
              <w:jc w:val="right"/>
            </w:pPr>
            <w:r>
              <w:rPr>
                <w:sz w:val="18"/>
                <w:rFonts w:ascii="Times New Roman" w:hAnsi="Times New Roman" w:cs="Times New Roman"/>
              </w:rPr>
              <w:t>56,1</w:t>
            </w:r>
          </w:p>
        </w:tc>
      </w:tr>
      <w:tr>
        <w:tc>
          <w:tcPr>
            <w:tcW w:w="2500" w:type="pct"/>
            <w:vAlign w:val="bottom"/>
          </w:tcPr>
          <w:p>
            <w:pPr>
              <w:spacing w:after="0" w:line="240"/>
              <w:jc w:val="left"/>
            </w:pPr>
            <w:r>
              <w:rPr>
                <w:b/>
                <w:sz w:val="18"/>
                <w:rFonts w:ascii="Times New Roman" w:hAnsi="Times New Roman" w:cs="Times New Roman"/>
              </w:rPr>
              <w:t>RAZLIKA PRIMITAKA I IZDATAKA</w:t>
            </w:r>
          </w:p>
        </w:tc>
        <w:tc>
          <w:tcPr>
            <w:tcW w:w="1000" w:type="pct"/>
            <w:vAlign w:val="bottom"/>
          </w:tcPr>
          <w:p>
            <w:pPr>
              <w:spacing w:after="0" w:line="240"/>
              <w:jc w:val="right"/>
            </w:pPr>
            <w:r>
              <w:rPr>
                <w:b/>
                <w:sz w:val="18"/>
                <w:rFonts w:ascii="Times New Roman" w:hAnsi="Times New Roman" w:cs="Times New Roman"/>
              </w:rPr>
              <w:t>33.047.979</w:t>
            </w:r>
          </w:p>
        </w:tc>
        <w:tc>
          <w:tcPr>
            <w:tcW w:w="1000" w:type="pct"/>
            <w:vAlign w:val="bottom"/>
          </w:tcPr>
          <w:p>
            <w:pPr>
              <w:spacing w:after="0" w:line="240"/>
              <w:jc w:val="right"/>
            </w:pPr>
            <w:r>
              <w:rPr>
                <w:b/>
                <w:sz w:val="18"/>
                <w:rFonts w:ascii="Times New Roman" w:hAnsi="Times New Roman" w:cs="Times New Roman"/>
              </w:rPr>
              <w:t>-1.135.598</w:t>
            </w:r>
          </w:p>
        </w:tc>
        <w:tc>
          <w:tcPr>
            <w:tcW w:w="800" w:type="pct"/>
            <w:vAlign w:val="bottom"/>
          </w:tcPr>
          <w:p>
            <w:pPr>
              <w:spacing w:after="0" w:line="240"/>
              <w:jc w:val="right"/>
            </w:pPr>
            <w:r>
              <w:rPr>
                <w:b/>
                <w:sz w:val="18"/>
                <w:rFonts w:ascii="Times New Roman" w:hAnsi="Times New Roman" w:cs="Times New Roman"/>
              </w:rPr>
              <w:t>-3,4</w:t>
            </w:r>
          </w:p>
        </w:tc>
      </w:tr>
      <w:tr>
        <w:tc>
          <w:tcPr>
            <w:tcW w:w="2500" w:type="pct"/>
            <w:vAlign w:val="bottom"/>
          </w:tcPr>
          <w:p>
            <w:pPr>
              <w:spacing w:after="0" w:line="240"/>
              <w:jc w:val="left"/>
            </w:pPr>
            <w:r>
              <w:rPr>
                <w:sz w:val="18"/>
                <w:rFonts w:ascii="Times New Roman" w:hAnsi="Times New Roman" w:cs="Times New Roman"/>
              </w:rPr>
              <w:t>PRIJENOS SREDSTAVA IZ PRETHODNE GODINE</w:t>
            </w:r>
          </w:p>
        </w:tc>
        <w:tc>
          <w:tcPr>
            <w:tcW w:w="1000" w:type="pct"/>
            <w:vAlign w:val="bottom"/>
          </w:tcPr>
          <w:p>
            <w:pPr>
              <w:spacing w:after="0" w:line="240"/>
              <w:jc w:val="right"/>
            </w:pPr>
            <w:r>
              <w:rPr>
                <w:sz w:val="18"/>
                <w:rFonts w:ascii="Times New Roman" w:hAnsi="Times New Roman" w:cs="Times New Roman"/>
              </w:rPr>
              <w:t>7.415.207</w:t>
            </w:r>
          </w:p>
        </w:tc>
        <w:tc>
          <w:tcPr>
            <w:tcW w:w="800" w:type="pct"/>
            <w:vAlign w:val="bottom"/>
          </w:tcPr>
          <w:p>
            <w:pPr>
              <w:spacing w:after="0" w:line="240"/>
              <w:jc w:val="right"/>
            </w:pPr>
            <w:r>
              <w:rPr>
                <w:sz w:val="18"/>
                <w:rFonts w:ascii="Times New Roman" w:hAnsi="Times New Roman" w:cs="Times New Roman"/>
              </w:rPr>
              <w:t>7.415.207</w:t>
            </w:r>
          </w:p>
        </w:tc>
        <w:tc>
          <w:tcPr>
            <w:tcW w:w="800" w:type="pct"/>
            <w:vAlign w:val="bottom"/>
          </w:tcPr>
          <w:p>
            <w:pPr>
              <w:spacing w:after="0" w:line="240"/>
              <w:jc w:val="right"/>
            </w:pPr>
            <w:r>
              <w:rPr>
                <w:sz w:val="18"/>
                <w:rFonts w:ascii="Times New Roman" w:hAnsi="Times New Roman" w:cs="Times New Roman"/>
              </w:rPr>
              <w:t>100,0</w:t>
            </w:r>
          </w:p>
        </w:tc>
      </w:tr>
      <w:tr>
        <w:tc>
          <w:tcPr>
            <w:tcW w:w="2500" w:type="pct"/>
            <w:vAlign w:val="bottom"/>
          </w:tcPr>
          <w:p>
            <w:pPr>
              <w:spacing w:after="0" w:line="240"/>
              <w:jc w:val="left"/>
            </w:pPr>
            <w:r>
              <w:rPr>
                <w:sz w:val="18"/>
                <w:rFonts w:ascii="Times New Roman" w:hAnsi="Times New Roman" w:cs="Times New Roman"/>
              </w:rPr>
              <w:t>PRIJENOS SREDSTAVA U SLJEDEĆE RAZDOBLJE</w:t>
            </w:r>
          </w:p>
        </w:tc>
        <w:tc>
          <w:tcPr>
            <w:tcW w:w="1000" w:type="pct"/>
            <w:vAlign w:val="bottom"/>
          </w:tcPr>
          <w:p>
            <w:pPr>
              <w:spacing w:after="0" w:line="240"/>
              <w:jc w:val="right"/>
            </w:pPr>
            <w:r>
              <w:rPr>
                <w:sz w:val="18"/>
                <w:rFonts w:ascii="Times New Roman" w:hAnsi="Times New Roman" w:cs="Times New Roman"/>
              </w:rPr>
              <w:t>0</w:t>
            </w:r>
          </w:p>
        </w:tc>
        <w:tc>
          <w:tcPr>
            <w:tcW w:w="800" w:type="pct"/>
            <w:vAlign w:val="bottom"/>
          </w:tcPr>
          <w:p>
            <w:pPr>
              <w:spacing w:after="0" w:line="240"/>
              <w:jc w:val="right"/>
            </w:pPr>
            <w:r>
              <w:rPr>
                <w:sz w:val="18"/>
                <w:rFonts w:ascii="Times New Roman" w:hAnsi="Times New Roman" w:cs="Times New Roman"/>
              </w:rPr>
              <w:t>-12.380.439</w:t>
            </w:r>
          </w:p>
        </w:tc>
        <w:tc>
          <w:tcPr>
            <w:tcW w:w="800" w:type="pct"/>
            <w:vAlign w:val="bottom"/>
          </w:tcPr>
          <w:p>
            <w:pPr>
              <w:spacing w:after="0" w:line="240"/>
              <w:jc w:val="right"/>
            </w:pPr>
            <w:r>
              <w:rPr>
                <w:sz w:val="18"/>
                <w:rFonts w:ascii="Times New Roman" w:hAnsi="Times New Roman" w:cs="Times New Roman"/>
              </w:rPr>
              <w:t/>
            </w:r>
          </w:p>
        </w:tc>
      </w:tr>
      <w:tr>
        <w:tc>
          <w:tcPr>
            <w:tcW w:w="2500" w:type="pct"/>
            <w:vAlign w:val="bottom"/>
          </w:tcPr>
          <w:p>
            <w:pPr>
              <w:spacing w:after="0" w:line="240"/>
              <w:jc w:val="left"/>
            </w:pPr>
            <w:r>
              <w:rPr>
                <w:sz w:val="18"/>
                <w:rFonts w:ascii="Times New Roman" w:hAnsi="Times New Roman" w:cs="Times New Roman"/>
              </w:rPr>
              <w:t>NETO FINANCIRANJE</w:t>
            </w:r>
          </w:p>
        </w:tc>
        <w:tc>
          <w:tcPr>
            <w:tcW w:w="1000" w:type="pct"/>
            <w:vAlign w:val="bottom"/>
          </w:tcPr>
          <w:p>
            <w:pPr>
              <w:spacing w:after="0" w:line="240"/>
              <w:jc w:val="right"/>
            </w:pPr>
            <w:r>
              <w:rPr>
                <w:sz w:val="18"/>
                <w:rFonts w:ascii="Times New Roman" w:hAnsi="Times New Roman" w:cs="Times New Roman"/>
              </w:rPr>
              <w:t>40.463.186</w:t>
            </w:r>
          </w:p>
        </w:tc>
        <w:tc>
          <w:tcPr>
            <w:tcW w:w="800" w:type="pct"/>
            <w:vAlign w:val="bottom"/>
          </w:tcPr>
          <w:p>
            <w:pPr>
              <w:spacing w:after="0" w:line="240"/>
              <w:jc w:val="right"/>
            </w:pPr>
            <w:r>
              <w:rPr>
                <w:sz w:val="18"/>
                <w:rFonts w:ascii="Times New Roman" w:hAnsi="Times New Roman" w:cs="Times New Roman"/>
              </w:rPr>
              <w:t>-6.100.830</w:t>
            </w:r>
          </w:p>
        </w:tc>
        <w:tc>
          <w:tcPr>
            <w:tcW w:w="800" w:type="pct"/>
            <w:vAlign w:val="bottom"/>
          </w:tcPr>
          <w:p>
            <w:pPr>
              <w:spacing w:after="0" w:line="240"/>
              <w:jc w:val="right"/>
            </w:pPr>
            <w:r>
              <w:rPr>
                <w:sz w:val="18"/>
                <w:rFonts w:ascii="Times New Roman" w:hAnsi="Times New Roman" w:cs="Times New Roman"/>
              </w:rPr>
              <w:t>-15,1</w:t>
            </w:r>
          </w:p>
        </w:tc>
      </w:tr>
      <w:tr>
        <w:tc>
          <w:tcPr>
            <w:tcW w:w="2500" w:type="pct"/>
            <w:vAlign w:val="bottom"/>
          </w:tcPr>
          <w:p>
            <w:pPr>
              <w:spacing w:after="0" w:line="240"/>
              <w:jc w:val="left"/>
            </w:pPr>
            <w:r>
              <w:rPr>
                <w:b/>
                <w:sz w:val="18"/>
                <w:rFonts w:ascii="Times New Roman" w:hAnsi="Times New Roman" w:cs="Times New Roman"/>
              </w:rPr>
              <w:t>VIŠAK/MANJAK + NETO FINANCIRANJE</w:t>
            </w:r>
          </w:p>
        </w:tc>
        <w:tc>
          <w:tcPr>
            <w:tcW w:w="1000" w:type="pct"/>
            <w:vAlign w:val="bottom"/>
          </w:tcPr>
          <w:p>
            <w:pPr>
              <w:spacing w:after="0" w:line="240"/>
              <w:jc w:val="right"/>
            </w:pPr>
            <w:r>
              <w:rPr>
                <w:b/>
                <w:sz w:val="18"/>
                <w:rFonts w:ascii="Times New Roman" w:hAnsi="Times New Roman" w:cs="Times New Roman"/>
              </w:rPr>
              <w:t>0</w:t>
            </w:r>
          </w:p>
        </w:tc>
        <w:tc>
          <w:tcPr>
            <w:tcW w:w="800" w:type="pct"/>
            <w:vAlign w:val="bottom"/>
          </w:tcPr>
          <w:p>
            <w:pPr>
              <w:spacing w:after="0" w:line="240"/>
              <w:jc w:val="right"/>
            </w:pPr>
            <w:r>
              <w:rPr>
                <w:b/>
                <w:sz w:val="18"/>
                <w:rFonts w:ascii="Times New Roman" w:hAnsi="Times New Roman" w:cs="Times New Roman"/>
              </w:rPr>
              <w:t>0</w:t>
            </w:r>
          </w:p>
        </w:tc>
        <w:tc>
          <w:tcPr>
            <w:tcW w:w="800" w:type="pct"/>
            <w:vAlign w:val="bottom"/>
          </w:tcPr>
          <w:p>
            <w:pPr>
              <w:spacing w:after="0" w:line="240"/>
              <w:jc w:val="right"/>
            </w:pPr>
            <w:r>
              <w:rPr>
                <w:b/>
                <w:sz w:val="18"/>
                <w:rFonts w:ascii="Times New Roman" w:hAnsi="Times New Roman" w:cs="Times New Roman"/>
              </w:rPr>
              <w:t/>
            </w:r>
          </w:p>
        </w:tc>
      </w:tr>
    </w:tbl>
    <w:p>
      <w:pPr>
        <w:spacing w:after="0" w:line="240"/>
      </w:pPr>
    </w:p>
    <w:p>
      <w:pPr>
        <w:spacing w:line="240"/>
        <w:jc w:val="both"/>
      </w:pPr>
      <w:r>
        <w:rPr>
          <w:rFonts w:ascii="Times New Roman" w:hAnsi="Times New Roman" w:cs="Times New Roman"/>
          <w:sz w:val="24"/>
        </w:rPr>
        <w:t xml:space="preserve">Kroz račun financiranja evidentirano je
ukupno 25.000.000,00 EUR primitaka po osnovi zaduživanja od kreditora Privredna
banka Zagreb d.d. sukladno potrebi osiguranja dodatnog izvora financiranja za
pokriće rashoda sukladno Financijskom planu za 2023. godinu. </w:t>
      </w:r>
    </w:p>
    <w:p>
      <w:pPr>
        <w:spacing w:line="240"/>
        <w:jc w:val="both"/>
      </w:pPr>
      <w:r>
        <w:rPr>
          <w:rFonts w:ascii="Times New Roman" w:hAnsi="Times New Roman" w:cs="Times New Roman"/>
          <w:sz w:val="24"/>
        </w:rPr>
        <w:t xml:space="preserve">Zaduživanje je provedeno uz suglasnost
Vlade Republike Hrvatske.</w:t>
      </w:r>
    </w:p>
    <w:p>
      <w:pPr>
        <w:spacing w:line="240"/>
        <w:jc w:val="both"/>
      </w:pPr>
      <w:r>
        <w:rPr>
          <w:rFonts w:ascii="Times New Roman" w:hAnsi="Times New Roman" w:cs="Times New Roman"/>
          <w:sz w:val="24"/>
        </w:rPr>
        <w:t xml:space="preserve">U izvještajnom razdoblju evidentirano je
26.135.598,27 EUR izdataka za otplate glavnica po dugoročnim kreditima.
Ministarstvu financija je izvršeno plaćanje za otplatu glavnica ukupno
11.629.352,64 EUR od čega za IBRD zajam 3.023.961,88 EUR, a za EIB i CEB 8.605.390,76
EUR. HBOR-u je otplaćeno 1.592.671,72 EUR glavnice, a Erste &amp;
Steiermärkische banci je otplaćeno 12.913.573,91 EUR glavnice.</w:t>
      </w:r>
    </w:p>
    <w:p>
      <w:pPr>
        <w:spacing w:line="240"/>
        <w:jc w:val="both"/>
      </w:pPr>
      <w:r>
        <w:rPr>
          <w:rFonts w:ascii="Times New Roman" w:hAnsi="Times New Roman" w:cs="Times New Roman"/>
          <w:sz w:val="24"/>
        </w:rPr>
        <w:t xml:space="preserve">Prijenos sredstava iz prethodne godine iznosi
7.415.207,23 EUR za koje je Upravno vijeće donijelo Odluku o rasporedu viška
prihoda i primitaka i isti je uvršten u I. izmjene i dopune Financijskog plana
Hrvatskih voda za 2023. godinu i projekciju plana za 2024. i 2025. godinu. Prijenos
sredstava u sljedeće razdoblje u iznosu od 12.380.438,78 EUR će se koristiti do
kraja godine sukladno Financijskom planu za 2023. godinu.</w:t>
      </w:r>
      <w:r>
        <w:rPr>
          <w:rFonts w:ascii="Times New Roman" w:hAnsi="Times New Roman" w:cs="Times New Roman"/>
          <w:sz w:val="24"/>
        </w:rPr>
        <w:br/>
      </w:r>
    </w:p>
    <w:p>
      <w:pPr>
        <w:spacing w:line="360"/>
        <w:jc w:val="center"/>
      </w:pPr>
      <w:r>
        <w:rPr>
          <w:b/>
          <w:sz w:val="28"/>
          <w:rFonts w:ascii="Times New Roman" w:hAnsi="Times New Roman" w:cs="Times New Roman"/>
        </w:rPr>
        <w:br/>
        <w:t xml:space="preserve">IZVJEŠTAJ O ZADUŽIVANJU NA DOMAĆEM I STRANOM TRŽIŠTU NOVCA I KAPITALA</w:t>
      </w:r>
    </w:p>
    <w:p>
      <w:pPr>
        <w:spacing w:line="240"/>
        <w:jc w:val="both"/>
      </w:pPr>
      <w:r>
        <w:rPr>
          <w:rFonts w:ascii="Times New Roman" w:hAnsi="Times New Roman" w:cs="Times New Roman"/>
          <w:sz w:val="24"/>
        </w:rPr>
        <w:t xml:space="preserve">Zaduživanje na domaćem tržištu
kapitala provedeno je uz suglasnost Vlade Republike Hrvatske kod kreditora
Privredna banka Zagreb d.d. sukladno potrebi osiguranja dodatnog izvora
financiranja za pokriće rashoda predviđenih Financijskim planom za 2023. godinu
u iznosu 79.633.685,00 EUR s rokom korištenja do 31.12.2023. godine. Rok
otplate kredita je 8 godina uz poček od 2 godine, u jednakim polugodišnjim
ratama uz fiksnu kamatnu stopu 3,26 % godišnje.</w:t>
      </w:r>
      <w:r>
        <w:rPr>
          <w:rFonts w:ascii="Times New Roman" w:hAnsi="Times New Roman" w:cs="Times New Roman"/>
          <w:sz w:val="24"/>
        </w:rPr>
        <w:br/>
      </w:r>
    </w:p>
    <w:p>
      <w:pPr>
        <w:spacing w:line="360"/>
        <w:jc w:val="center"/>
      </w:pPr>
      <w:r>
        <w:rPr>
          <w:b/>
          <w:sz w:val="28"/>
          <w:rFonts w:ascii="Times New Roman" w:hAnsi="Times New Roman" w:cs="Times New Roman"/>
        </w:rPr>
        <w:br/>
        <w:t xml:space="preserve">IZVJEŠTAJ O DANIM JAMSTVIMA I PLAĆANJIMA PO PROTESTIRANIM JAMSTVIMA </w:t>
      </w:r>
    </w:p>
    <w:p>
      <w:pPr>
        <w:spacing w:line="240"/>
        <w:jc w:val="both"/>
      </w:pPr>
      <w:r>
        <w:rPr>
          <w:rFonts w:ascii="Times New Roman" w:hAnsi="Times New Roman" w:cs="Times New Roman"/>
          <w:sz w:val="24"/>
        </w:rPr>
        <w:t xml:space="preserve">Hrvatske vode u izvještajnom
razdoblju nemaju dana ni protestirana jamstva.</w:t>
      </w:r>
      <w:r>
        <w:rPr>
          <w:rFonts w:ascii="Times New Roman" w:hAnsi="Times New Roman" w:cs="Times New Roman"/>
          <w:sz w:val="24"/>
        </w:rPr>
        <w:br/>
      </w:r>
    </w:p>
  </w:body>
</w:document>
</file>