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80bd12a223049de" /></Relationships>
</file>

<file path=word/document.xml><?xml version="1.0" encoding="utf-8"?>
<w:document xmlns:w="http://schemas.openxmlformats.org/wordprocessingml/2006/main">
  <w:body>
    <w:sectPr>
      <w:pgMar w:top="1417" w:right="1417" w:bottom="1417" w:left="1417"/>
    </w:sectPr>
    <w:p>
      <w:pPr>
        <w:spacing w:line="360"/>
        <w:jc w:val="center"/>
      </w:pPr>
      <w:r>
        <w:rPr>
          <w:b/>
          <w:sz w:val="24"/>
          <w:rFonts w:ascii="Times New Roman" w:hAnsi="Times New Roman" w:cs="Times New Roman"/>
        </w:rPr>
        <w:t xml:space="preserve">OBRAZLOŽENJE IZVRŠENJA FINANCIJSKOG PLANA HRVATSKIH VODA ZA PRVO POLUGODIŠTE 2024. GODINE</w:t>
      </w:r>
    </w:p>
    <w:p>
      <w:pPr>
        <w:spacing w:line="360"/>
        <w:jc w:val="left"/>
      </w:pPr>
      <w:r>
        <w:rPr>
          <w:b/>
          <w:u w:val="single"/>
          <w:sz w:val="24"/>
          <w:rFonts w:ascii="Times New Roman" w:hAnsi="Times New Roman" w:cs="Times New Roman"/>
        </w:rPr>
        <w:br/>
        <w:t xml:space="preserve">UVOD</w:t>
      </w:r>
    </w:p>
    <w:p>
      <w:pPr>
        <w:spacing w:line="240"/>
        <w:jc w:val="both"/>
      </w:pPr>
      <w:r>
        <w:rPr>
          <w:rFonts w:ascii="Times New Roman" w:hAnsi="Times New Roman" w:cs="Times New Roman"/>
          <w:color w:val="000000"/>
          <w:sz w:val="24"/>
        </w:rPr>
        <w:t xml:space="preserve">U razdoblju siječanj -
lipanj 2024. godine ukupni prihodi ostvareni su iznosom od  262.973.485,29
EUR, odnosno 33,15% u odnosu na plan, od čega su prihodi poslovanja (šifra 6)
ostvareni u iznosu od 262.965.858,97 EUR odnosno 99,99% ukupnih prihoda, a
prihodi od prodaje nefinancijske imovine (šifra 7) iznosom od 7.626,32 EUR.</w:t>
      </w:r>
    </w:p>
    <w:p>
      <w:pPr>
        <w:spacing w:line="360"/>
        <w:jc w:val="left"/>
      </w:pPr>
      <w:r>
        <w:rPr>
          <w:b/>
          <w:u w:val="single"/>
          <w:sz w:val="24"/>
          <w:rFonts w:ascii="Times New Roman" w:hAnsi="Times New Roman" w:cs="Times New Roman"/>
        </w:rPr>
        <w:br/>
        <w:t xml:space="preserve">PRIHODI</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1400" w:type="pct"/>
            <w:vAlign w:val="center"/>
            <w:shd w:val="clear" w:color="auto" w:fill="#bcdffb"/>
          </w:tcPr>
          <w:p>
            <w:pPr>
              <w:spacing w:after="0" w:line="240"/>
              <w:jc w:val="center"/>
            </w:pPr>
            <w:r>
              <w:rPr>
                <w:b/>
                <w:sz w:val="18"/>
                <w:rFonts w:ascii="Times New Roman" w:hAnsi="Times New Roman" w:cs="Times New Roman"/>
              </w:rPr>
              <w:t>BROJČANA OZNAKA I NAZIV</w:t>
            </w:r>
          </w:p>
        </w:tc>
        <w:tc>
          <w:tcPr>
            <w:tcW w:w="800" w:type="pct"/>
            <w:vAlign w:val="center"/>
            <w:shd w:val="clear" w:color="auto" w:fill="#bcdffb"/>
          </w:tcPr>
          <w:p>
            <w:pPr>
              <w:spacing w:after="0" w:line="240"/>
              <w:jc w:val="center"/>
            </w:pPr>
            <w:r>
              <w:rPr>
                <w:b/>
                <w:sz w:val="18"/>
                <w:rFonts w:ascii="Times New Roman" w:hAnsi="Times New Roman" w:cs="Times New Roman"/>
              </w:rPr>
              <w:t>OSTVARENJE</w:t>
              <w:br/>
              <w:t>1.-6. 2023.</w:t>
            </w:r>
          </w:p>
        </w:tc>
        <w:tc>
          <w:tcPr>
            <w:tcW w:w="800" w:type="pct"/>
            <w:vAlign w:val="center"/>
            <w:shd w:val="clear" w:color="auto" w:fill="#bcdffb"/>
          </w:tcPr>
          <w:p>
            <w:pPr>
              <w:spacing w:after="0" w:line="240"/>
              <w:jc w:val="center"/>
            </w:pPr>
            <w:r>
              <w:rPr>
                <w:b/>
                <w:sz w:val="18"/>
                <w:rFonts w:ascii="Times New Roman" w:hAnsi="Times New Roman" w:cs="Times New Roman"/>
              </w:rPr>
              <w:t>REBALANS</w:t>
              <w:br/>
              <w:t>2024.</w:t>
            </w:r>
          </w:p>
        </w:tc>
        <w:tc>
          <w:tcPr>
            <w:tcW w:w="800" w:type="pct"/>
            <w:vAlign w:val="center"/>
            <w:shd w:val="clear" w:color="auto" w:fill="#bcdffb"/>
          </w:tcPr>
          <w:p>
            <w:pPr>
              <w:spacing w:after="0" w:line="240"/>
              <w:jc w:val="center"/>
            </w:pPr>
            <w:r>
              <w:rPr>
                <w:b/>
                <w:sz w:val="18"/>
                <w:rFonts w:ascii="Times New Roman" w:hAnsi="Times New Roman" w:cs="Times New Roman"/>
              </w:rPr>
              <w:t>OSTVARENJE</w:t>
              <w:br/>
              <w:t>1.-6. 2024.</w:t>
            </w:r>
          </w:p>
        </w:tc>
        <w:tc>
          <w:tcPr>
            <w:tcW w:w="500" w:type="pct"/>
            <w:vAlign w:val="center"/>
            <w:shd w:val="clear" w:color="auto" w:fill="#bcdffb"/>
          </w:tcPr>
          <w:p>
            <w:pPr>
              <w:spacing w:after="0" w:line="240"/>
              <w:jc w:val="center"/>
            </w:pPr>
            <w:r>
              <w:rPr>
                <w:b/>
                <w:sz w:val="18"/>
                <w:rFonts w:ascii="Times New Roman" w:hAnsi="Times New Roman" w:cs="Times New Roman"/>
              </w:rPr>
              <w:t>INDEKS</w:t>
            </w:r>
          </w:p>
        </w:tc>
        <w:tc>
          <w:tcPr>
            <w:tcW w:w="50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1400" w:type="pct"/>
            <w:vAlign w:val="bottom"/>
          </w:tcPr>
          <w:p>
            <w:pPr>
              <w:spacing w:after="0" w:line="240"/>
              <w:jc w:val="left"/>
            </w:pPr>
            <w:r>
              <w:rPr>
                <w:sz w:val="18"/>
                <w:rFonts w:ascii="Times New Roman" w:hAnsi="Times New Roman" w:cs="Times New Roman"/>
              </w:rPr>
              <w:t>6 PRIHODI POSLOVANJA</w:t>
            </w:r>
          </w:p>
        </w:tc>
        <w:tc>
          <w:tcPr>
            <w:tcW w:w="800" w:type="pct"/>
            <w:vAlign w:val="bottom"/>
          </w:tcPr>
          <w:p>
            <w:pPr>
              <w:spacing w:after="0" w:line="240"/>
              <w:jc w:val="right"/>
            </w:pPr>
            <w:r>
              <w:rPr>
                <w:sz w:val="18"/>
                <w:rFonts w:ascii="Times New Roman" w:hAnsi="Times New Roman" w:cs="Times New Roman"/>
              </w:rPr>
              <w:t>349.163.276</w:t>
            </w:r>
          </w:p>
        </w:tc>
        <w:tc>
          <w:tcPr>
            <w:tcW w:w="800" w:type="pct"/>
            <w:vAlign w:val="bottom"/>
          </w:tcPr>
          <w:p>
            <w:pPr>
              <w:spacing w:after="0" w:line="240"/>
              <w:jc w:val="right"/>
            </w:pPr>
            <w:r>
              <w:rPr>
                <w:sz w:val="18"/>
                <w:rFonts w:ascii="Times New Roman" w:hAnsi="Times New Roman" w:cs="Times New Roman"/>
              </w:rPr>
              <w:t>792.313.571</w:t>
            </w:r>
          </w:p>
        </w:tc>
        <w:tc>
          <w:tcPr>
            <w:tcW w:w="800" w:type="pct"/>
            <w:vAlign w:val="bottom"/>
          </w:tcPr>
          <w:p>
            <w:pPr>
              <w:spacing w:after="0" w:line="240"/>
              <w:jc w:val="right"/>
            </w:pPr>
            <w:r>
              <w:rPr>
                <w:sz w:val="18"/>
                <w:rFonts w:ascii="Times New Roman" w:hAnsi="Times New Roman" w:cs="Times New Roman"/>
              </w:rPr>
              <w:t>262.965.859</w:t>
            </w:r>
          </w:p>
        </w:tc>
        <w:tc>
          <w:tcPr>
            <w:tcW w:w="500" w:type="pct"/>
            <w:vAlign w:val="bottom"/>
          </w:tcPr>
          <w:p>
            <w:pPr>
              <w:spacing w:after="0" w:line="240"/>
              <w:jc w:val="right"/>
            </w:pPr>
            <w:r>
              <w:rPr>
                <w:sz w:val="18"/>
                <w:rFonts w:ascii="Times New Roman" w:hAnsi="Times New Roman" w:cs="Times New Roman"/>
              </w:rPr>
              <w:t>75,3</w:t>
            </w:r>
          </w:p>
        </w:tc>
        <w:tc>
          <w:tcPr>
            <w:tcW w:w="500" w:type="pct"/>
            <w:vAlign w:val="bottom"/>
          </w:tcPr>
          <w:p>
            <w:pPr>
              <w:spacing w:after="0" w:line="240"/>
              <w:jc w:val="right"/>
            </w:pPr>
            <w:r>
              <w:rPr>
                <w:sz w:val="18"/>
                <w:rFonts w:ascii="Times New Roman" w:hAnsi="Times New Roman" w:cs="Times New Roman"/>
              </w:rPr>
              <w:t>33,2</w:t>
            </w:r>
          </w:p>
        </w:tc>
      </w:tr>
      <w:tr>
        <w:tc>
          <w:tcPr>
            <w:tcW w:w="1400" w:type="pct"/>
            <w:vAlign w:val="bottom"/>
          </w:tcPr>
          <w:p>
            <w:pPr>
              <w:spacing w:after="0" w:line="240"/>
              <w:jc w:val="left"/>
            </w:pPr>
            <w:r>
              <w:rPr>
                <w:sz w:val="18"/>
                <w:rFonts w:ascii="Times New Roman" w:hAnsi="Times New Roman" w:cs="Times New Roman"/>
              </w:rPr>
              <w:t>7 PRIHODI OD PRODAJE NEFINANCIJSKE IMOVINE</w:t>
            </w:r>
          </w:p>
        </w:tc>
        <w:tc>
          <w:tcPr>
            <w:tcW w:w="800" w:type="pct"/>
            <w:vAlign w:val="bottom"/>
          </w:tcPr>
          <w:p>
            <w:pPr>
              <w:spacing w:after="0" w:line="240"/>
              <w:jc w:val="right"/>
            </w:pPr>
            <w:r>
              <w:rPr>
                <w:sz w:val="18"/>
                <w:rFonts w:ascii="Times New Roman" w:hAnsi="Times New Roman" w:cs="Times New Roman"/>
              </w:rPr>
              <w:t>1.121</w:t>
            </w:r>
          </w:p>
        </w:tc>
        <w:tc>
          <w:tcPr>
            <w:tcW w:w="800" w:type="pct"/>
            <w:vAlign w:val="bottom"/>
          </w:tcPr>
          <w:p>
            <w:pPr>
              <w:spacing w:after="0" w:line="240"/>
              <w:jc w:val="right"/>
            </w:pPr>
            <w:r>
              <w:rPr>
                <w:sz w:val="18"/>
                <w:rFonts w:ascii="Times New Roman" w:hAnsi="Times New Roman" w:cs="Times New Roman"/>
              </w:rPr>
              <w:t>1.040.873</w:t>
            </w:r>
          </w:p>
        </w:tc>
        <w:tc>
          <w:tcPr>
            <w:tcW w:w="800" w:type="pct"/>
            <w:vAlign w:val="bottom"/>
          </w:tcPr>
          <w:p>
            <w:pPr>
              <w:spacing w:after="0" w:line="240"/>
              <w:jc w:val="right"/>
            </w:pPr>
            <w:r>
              <w:rPr>
                <w:sz w:val="18"/>
                <w:rFonts w:ascii="Times New Roman" w:hAnsi="Times New Roman" w:cs="Times New Roman"/>
              </w:rPr>
              <w:t>7.626</w:t>
            </w:r>
          </w:p>
        </w:tc>
        <w:tc>
          <w:tcPr>
            <w:tcW w:w="500" w:type="pct"/>
            <w:vAlign w:val="bottom"/>
          </w:tcPr>
          <w:p>
            <w:pPr>
              <w:spacing w:after="0" w:line="240"/>
              <w:jc w:val="right"/>
            </w:pPr>
            <w:r>
              <w:rPr>
                <w:sz w:val="18"/>
                <w:rFonts w:ascii="Times New Roman" w:hAnsi="Times New Roman" w:cs="Times New Roman"/>
              </w:rPr>
              <w:t>680,3</w:t>
            </w:r>
          </w:p>
        </w:tc>
        <w:tc>
          <w:tcPr>
            <w:tcW w:w="500" w:type="pct"/>
            <w:vAlign w:val="bottom"/>
          </w:tcPr>
          <w:p>
            <w:pPr>
              <w:spacing w:after="0" w:line="240"/>
              <w:jc w:val="right"/>
            </w:pPr>
            <w:r>
              <w:rPr>
                <w:sz w:val="18"/>
                <w:rFonts w:ascii="Times New Roman" w:hAnsi="Times New Roman" w:cs="Times New Roman"/>
              </w:rPr>
              <w:t>0,7</w:t>
            </w:r>
          </w:p>
        </w:tc>
      </w:tr>
      <w:tr>
        <w:tc>
          <w:tcPr>
            <w:tcW w:w="1400" w:type="pct"/>
            <w:vAlign w:val="bottom"/>
          </w:tcPr>
          <w:p>
            <w:pPr>
              <w:spacing w:after="0" w:line="240"/>
              <w:jc w:val="left"/>
            </w:pPr>
            <w:r>
              <w:rPr>
                <w:b/>
                <w:sz w:val="18"/>
                <w:rFonts w:ascii="Times New Roman" w:hAnsi="Times New Roman" w:cs="Times New Roman"/>
              </w:rPr>
              <w:t>UKUPNI PRIHODI</w:t>
            </w:r>
          </w:p>
        </w:tc>
        <w:tc>
          <w:tcPr>
            <w:tcW w:w="800" w:type="pct"/>
            <w:vAlign w:val="bottom"/>
          </w:tcPr>
          <w:p>
            <w:pPr>
              <w:spacing w:after="0" w:line="240"/>
              <w:jc w:val="right"/>
            </w:pPr>
            <w:r>
              <w:rPr>
                <w:b/>
                <w:sz w:val="18"/>
                <w:rFonts w:ascii="Times New Roman" w:hAnsi="Times New Roman" w:cs="Times New Roman"/>
              </w:rPr>
              <w:t>349.164.397</w:t>
            </w:r>
          </w:p>
        </w:tc>
        <w:tc>
          <w:tcPr>
            <w:tcW w:w="800" w:type="pct"/>
            <w:vAlign w:val="bottom"/>
          </w:tcPr>
          <w:p>
            <w:pPr>
              <w:spacing w:after="0" w:line="240"/>
              <w:jc w:val="right"/>
            </w:pPr>
            <w:r>
              <w:rPr>
                <w:b/>
                <w:sz w:val="18"/>
                <w:rFonts w:ascii="Times New Roman" w:hAnsi="Times New Roman" w:cs="Times New Roman"/>
              </w:rPr>
              <w:t>793.354.444</w:t>
            </w:r>
          </w:p>
        </w:tc>
        <w:tc>
          <w:tcPr>
            <w:tcW w:w="800" w:type="pct"/>
            <w:vAlign w:val="bottom"/>
          </w:tcPr>
          <w:p>
            <w:pPr>
              <w:spacing w:after="0" w:line="240"/>
              <w:jc w:val="right"/>
            </w:pPr>
            <w:r>
              <w:rPr>
                <w:b/>
                <w:sz w:val="18"/>
                <w:rFonts w:ascii="Times New Roman" w:hAnsi="Times New Roman" w:cs="Times New Roman"/>
              </w:rPr>
              <w:t>262.973.485</w:t>
            </w:r>
          </w:p>
        </w:tc>
        <w:tc>
          <w:tcPr>
            <w:tcW w:w="500" w:type="pct"/>
            <w:vAlign w:val="bottom"/>
          </w:tcPr>
          <w:p>
            <w:pPr>
              <w:spacing w:after="0" w:line="240"/>
              <w:jc w:val="right"/>
            </w:pPr>
            <w:r>
              <w:rPr>
                <w:b/>
                <w:sz w:val="18"/>
                <w:rFonts w:ascii="Times New Roman" w:hAnsi="Times New Roman" w:cs="Times New Roman"/>
              </w:rPr>
              <w:t>75,3</w:t>
            </w:r>
          </w:p>
        </w:tc>
        <w:tc>
          <w:tcPr>
            <w:tcW w:w="500" w:type="pct"/>
            <w:vAlign w:val="bottom"/>
          </w:tcPr>
          <w:p>
            <w:pPr>
              <w:spacing w:after="0" w:line="240"/>
              <w:jc w:val="right"/>
            </w:pPr>
            <w:r>
              <w:rPr>
                <w:b/>
                <w:sz w:val="18"/>
                <w:rFonts w:ascii="Times New Roman" w:hAnsi="Times New Roman" w:cs="Times New Roman"/>
              </w:rPr>
              <w:t>33,1</w:t>
            </w:r>
          </w:p>
        </w:tc>
      </w:tr>
    </w:tbl>
    <w:p>
      <w:pPr>
        <w:spacing w:after="0" w:line="240"/>
      </w:pPr>
    </w:p>
    <w:p>
      <w:pPr>
        <w:spacing w:line="240"/>
        <w:jc w:val="both"/>
      </w:pPr>
      <w:r>
        <w:rPr>
          <w:rFonts w:ascii="Times New Roman" w:hAnsi="Times New Roman" w:cs="Times New Roman"/>
          <w:color w:val="000000"/>
          <w:sz w:val="24"/>
        </w:rPr>
        <w:t xml:space="preserve">U strukturi ukupnih
prihoda, prihodi po posebnim propisima – prihodi od vodnog gospodarstva čine
udio od 48,70%, prihodi od kapitalnih i tekućih pomoći iz Državnog proračuna,
te tekućih i kapitalnih pomoći temeljem prijenosa EU sredstava - Državni
proračun 49,06%, a svi ostali  2,24 %.</w:t>
      </w:r>
    </w:p>
    <w:p>
      <w:pPr>
        <w:spacing w:line="240"/>
        <w:jc w:val="both"/>
      </w:pPr>
      <w:r>
        <w:rPr>
          <w:rFonts w:ascii="Times New Roman" w:hAnsi="Times New Roman" w:cs="Times New Roman"/>
          <w:b/>
          <w:color w:val="000000"/>
          <w:sz w:val="24"/>
        </w:rPr>
        <w:t xml:space="preserve">Prihodi poslovanja </w:t>
      </w:r>
      <w:r>
        <w:rPr>
          <w:rFonts w:ascii="Times New Roman" w:hAnsi="Times New Roman" w:cs="Times New Roman"/>
          <w:color w:val="000000"/>
          <w:sz w:val="24"/>
        </w:rPr>
        <w:t xml:space="preserve">(šifra 6) ostvareni su u postotku 33,19% u odnosu na plan, manji su u odnosu na
2023. godinu za 86.197.417,19 EUR, što je smanjenje od  24,69 % i to
prvenstveno u dijelu tekućih i kapitalnih pomoći temeljem prijenosa EU
sredstava, a sve zbog smanjene realizacije na aktivnostima sufinanciranim
bespovratnim sredstvima iz EU fondova.</w:t>
      </w:r>
    </w:p>
    <w:p>
      <w:pPr>
        <w:spacing w:line="240"/>
        <w:jc w:val="both"/>
      </w:pPr>
      <w:r>
        <w:rPr>
          <w:rFonts w:ascii="Times New Roman" w:hAnsi="Times New Roman" w:cs="Times New Roman"/>
          <w:b/>
          <w:color w:val="000000"/>
          <w:sz w:val="24"/>
        </w:rPr>
        <w:t xml:space="preserve">Pomoći iz inozemstva i od subjekata unutar općeg proračuna </w:t>
      </w:r>
      <w:r>
        <w:rPr>
          <w:rFonts w:ascii="Times New Roman" w:hAnsi="Times New Roman" w:cs="Times New Roman"/>
          <w:color w:val="000000"/>
          <w:sz w:val="24"/>
        </w:rPr>
        <w:t xml:space="preserve">(šifra 63) ostvareni su u ukupnom iznosu od 129.012.011,82 EUR,</w:t>
      </w:r>
      <w:r>
        <w:rPr>
          <w:rFonts w:ascii="Times New Roman" w:hAnsi="Times New Roman" w:cs="Times New Roman"/>
          <w:color w:val="000000"/>
          <w:sz w:val="24"/>
        </w:rPr>
        <w:t xml:space="preserve"> </w:t>
      </w:r>
      <w:r>
        <w:rPr>
          <w:rFonts w:ascii="Times New Roman" w:hAnsi="Times New Roman" w:cs="Times New Roman"/>
          <w:color w:val="000000"/>
          <w:sz w:val="24"/>
        </w:rPr>
        <w:t xml:space="preserve">27,77 % u odnosu na
plan, </w:t>
      </w:r>
      <w:r>
        <w:rPr>
          <w:rFonts w:ascii="Times New Roman" w:hAnsi="Times New Roman" w:cs="Times New Roman"/>
          <w:color w:val="000000"/>
          <w:sz w:val="24"/>
        </w:rPr>
        <w:t xml:space="preserve">36,16 % manje u odnosu na isto razdoblje prošle godine, a odnose se na:</w:t>
      </w:r>
    </w:p>
    <w:p>
      <w:pPr>
        <w:spacing w:line="240"/>
        <w:jc w:val="both"/>
      </w:pPr>
      <w:r>
        <w:rPr>
          <w:rFonts w:ascii="Times New Roman" w:hAnsi="Times New Roman" w:cs="Times New Roman"/>
          <w:b/>
          <w:color w:val="000000"/>
          <w:sz w:val="24"/>
        </w:rPr>
        <w:t xml:space="preserve">Pomoći proračunu iz drugih proračuna i izvanproračunskim
korisnicima </w:t>
      </w:r>
      <w:r>
        <w:rPr>
          <w:rFonts w:ascii="Times New Roman" w:hAnsi="Times New Roman" w:cs="Times New Roman"/>
          <w:color w:val="000000"/>
          <w:sz w:val="24"/>
        </w:rPr>
        <w:t xml:space="preserve">(šifra 633) ostvarene
su iznosom od 60.549.952,58 EUR, 27,76% u odnosu na plan, što je povećanje 144,74 %
i to prvenstveno u dijelu kapitalnih pomoći.</w:t>
      </w:r>
    </w:p>
    <w:p>
      <w:pPr>
        <w:spacing w:line="240"/>
        <w:jc w:val="both"/>
      </w:pPr>
      <w:r>
        <w:rPr>
          <w:rFonts w:ascii="Times New Roman" w:hAnsi="Times New Roman" w:cs="Times New Roman"/>
          <w:color w:val="000000"/>
          <w:sz w:val="24"/>
        </w:rPr>
        <w:t xml:space="preserve">Sastoje se od
kapitalnih pomoći iz Državnog proračuna – 60.022.384,99 EUR. </w:t>
      </w:r>
    </w:p>
    <w:p>
      <w:pPr>
        <w:spacing w:line="240"/>
        <w:jc w:val="both"/>
      </w:pPr>
      <w:r>
        <w:rPr>
          <w:rFonts w:ascii="Times New Roman" w:hAnsi="Times New Roman" w:cs="Times New Roman"/>
          <w:color w:val="000000"/>
          <w:sz w:val="24"/>
        </w:rPr>
        <w:t xml:space="preserve">Danom 17.5.2024., tj.
danom stupanja na snagu Zakona o izmjenama i dopunama Zakona o ustrojstvu i
djelokrugu tijela državne uprave („Narodne novine“, broj 57/2024) Ministarstvo
gospodarstva i održivog razvoja nastavlja s radom kao Ministarstvo
gospodarstva.</w:t>
      </w:r>
    </w:p>
    <w:p>
      <w:pPr>
        <w:spacing w:line="240"/>
        <w:jc w:val="both"/>
      </w:pPr>
      <w:r>
        <w:rPr>
          <w:rFonts w:ascii="Times New Roman" w:hAnsi="Times New Roman" w:cs="Times New Roman"/>
          <w:color w:val="000000"/>
          <w:sz w:val="24"/>
        </w:rPr>
        <w:t xml:space="preserve">Ministarstvo zaštite
okoliša i zelene tranzicije preuzima poslove iz djelokruga dosadašnjeg
Ministarstva gospodarstva i održivog razvoja koji se odnose na zaštitu okoliša,
zaštitu prirode i vodno gospodarstvo te opremu, pismohranu i drugu
dokumentaciju, sredstva za rad, financijska sredstva, prava i obveze, kao i
državne službenike i namještenike zatečene na obavljanju preuzetih poslova,
uključujući rukovodeće državne službenike koje je imenovala Vlada Republike
Hrvatske.</w:t>
      </w:r>
    </w:p>
    <w:p>
      <w:pPr>
        <w:spacing w:line="240"/>
        <w:jc w:val="both"/>
      </w:pPr>
      <w:r>
        <w:rPr>
          <w:rFonts w:ascii="Times New Roman" w:hAnsi="Times New Roman" w:cs="Times New Roman"/>
          <w:color w:val="000000"/>
          <w:sz w:val="24"/>
        </w:rPr>
        <w:t xml:space="preserve">Nadležno ministarstvo
Hrvatskim vodama od 01.01.-16.05.2024. godine je Ministarstvo gospodarstva i
održivog razvoja, od 17.05.2024. na dalje je Ministarstvo zaštite okoliša i
zelene tranzicije.</w:t>
      </w:r>
    </w:p>
    <w:p>
      <w:pPr>
        <w:spacing w:line="240"/>
        <w:jc w:val="both"/>
      </w:pPr>
      <w:r>
        <w:rPr>
          <w:rFonts w:ascii="Times New Roman" w:hAnsi="Times New Roman" w:cs="Times New Roman"/>
          <w:color w:val="000000"/>
          <w:sz w:val="24"/>
        </w:rPr>
        <w:t xml:space="preserve">Kapitalne pomoći iz
Državnog proračuna sastoje se od 32.394.020,09 EUR povučenih s razdjela
Ministarstva gospodarstva i održivog razvoja kroz učešće državnog proračuna za
EU vodno-komunalne projekte 31.788.221,47 EUR i za projekte vodno-komunalne
infrastrukture Švicarsko-Hrvatski program suradnje 605.798,62 EUR.</w:t>
      </w:r>
    </w:p>
    <w:p>
      <w:pPr>
        <w:spacing w:line="240"/>
        <w:jc w:val="both"/>
      </w:pPr>
      <w:r>
        <w:rPr>
          <w:rFonts w:ascii="Times New Roman" w:hAnsi="Times New Roman" w:cs="Times New Roman"/>
          <w:color w:val="000000"/>
          <w:sz w:val="24"/>
        </w:rPr>
        <w:t xml:space="preserve">Kapitalne pomoći iz
Državnog proračuna sastoje se od 27.628.364,90 EUR povučenih s razdjela
Ministarstva zaštite okoliša i zelene tranzicije kroz učešće državnog proračuna
za EU vodno-komunalne projekte 27.122.305,68 EUR, za projekt NPOO - Nacionalni
plan oporavka i otpornosti (Mehanizam za oporavak i otpornost) s iznosom
498.268,41 EUR  i za projekte navodnjavanja 7.790,81 EUR.</w:t>
      </w:r>
    </w:p>
    <w:p>
      <w:pPr>
        <w:spacing w:line="240"/>
        <w:jc w:val="both"/>
      </w:pPr>
      <w:r>
        <w:rPr>
          <w:rFonts w:ascii="Times New Roman" w:hAnsi="Times New Roman" w:cs="Times New Roman"/>
          <w:color w:val="000000"/>
          <w:sz w:val="24"/>
        </w:rPr>
        <w:t xml:space="preserve">Kapitalne pomoći
proračunu iz proračuna lokalne i regionalne samouprave ostvarene su u iznosu
527.567,59 EUR, a odnose se na učešće u sufinanciranju EU projekata – lokalna
komponenta.</w:t>
      </w:r>
    </w:p>
    <w:p>
      <w:pPr>
        <w:spacing w:line="240"/>
        <w:jc w:val="both"/>
      </w:pPr>
      <w:r>
        <w:rPr>
          <w:rFonts w:ascii="Times New Roman" w:hAnsi="Times New Roman" w:cs="Times New Roman"/>
          <w:b/>
          <w:color w:val="000000"/>
          <w:sz w:val="24"/>
        </w:rPr>
        <w:t xml:space="preserve">Pomoći temeljem prijenosa EU sredstava</w:t>
      </w:r>
      <w:r>
        <w:rPr>
          <w:rFonts w:ascii="Times New Roman" w:hAnsi="Times New Roman" w:cs="Times New Roman"/>
          <w:color w:val="000000"/>
          <w:sz w:val="24"/>
        </w:rPr>
        <w:t xml:space="preserve"> (šifra 638) ostvarene su iznosom od 68.462.059,24 EUR, 61,39 % manje
u odnosu na isto razdoblje prošle godine, odnosno 27,88% u odnosu na plan, a
odnose se na:</w:t>
      </w:r>
    </w:p>
    <w:p>
      <w:pPr>
        <w:spacing w:line="240"/>
        <w:jc w:val="both"/>
      </w:pPr>
      <w:r>
        <w:rPr>
          <w:rFonts w:ascii="Times New Roman" w:hAnsi="Times New Roman" w:cs="Times New Roman"/>
          <w:color w:val="000000"/>
          <w:sz w:val="24"/>
        </w:rPr>
        <w:t xml:space="preserve">Tekuće pomoću temeljem
prijenosa EU sredstava ostvarene su iznosom od  4.014.467,83 EUR, a 
sastoje se od bespovratnih EU sredstava putem državnog proračuna s razdjela:</w:t>
      </w:r>
    </w:p>
    <w:p>
      <w:pPr>
        <w:spacing w:line="240"/>
        <w:jc w:val="both"/>
      </w:pPr>
      <w:r>
        <w:rPr>
          <w:rFonts w:ascii="Times New Roman" w:hAnsi="Times New Roman" w:cs="Times New Roman"/>
          <w:color w:val="000000"/>
          <w:sz w:val="24"/>
        </w:rPr>
        <w:t xml:space="preserve">Ministarstva
gospodarstva i održivog razvoja (913.300,84 EUR) za EU projekt Naturavita u
iznosu od 151.470,58 EUR, Mehanizma za oporavak i otpornost NPOO poplave u
iznosu  761.830,26 EUR</w:t>
      </w:r>
    </w:p>
    <w:p>
      <w:pPr>
        <w:spacing w:line="240"/>
        <w:jc w:val="both"/>
      </w:pPr>
      <w:r>
        <w:rPr>
          <w:rFonts w:ascii="Times New Roman" w:hAnsi="Times New Roman" w:cs="Times New Roman"/>
          <w:color w:val="000000"/>
          <w:sz w:val="24"/>
        </w:rPr>
        <w:t xml:space="preserve">Ministarstva zaštite
okoliša i zelene tranzicije (633.453,67 EUR) za EU projekt Naturavita u iznosu
od 356.567,90 EUR, Mehanizma za oporavak i otpornost NPOO poplave u
iznosu  276.885,77 EUR</w:t>
      </w:r>
    </w:p>
    <w:p>
      <w:pPr>
        <w:spacing w:line="240"/>
        <w:jc w:val="both"/>
      </w:pPr>
      <w:r>
        <w:rPr>
          <w:rFonts w:ascii="Times New Roman" w:hAnsi="Times New Roman" w:cs="Times New Roman"/>
          <w:color w:val="000000"/>
          <w:sz w:val="24"/>
        </w:rPr>
        <w:t xml:space="preserve">Ministarstva regionalnog
razvoja i fondova EU (2.467.713,32 EUR) za tehničku pomoć. </w:t>
      </w:r>
    </w:p>
    <w:p>
      <w:pPr>
        <w:spacing w:line="240"/>
        <w:jc w:val="both"/>
      </w:pPr>
      <w:r>
        <w:rPr>
          <w:rFonts w:ascii="Times New Roman" w:hAnsi="Times New Roman" w:cs="Times New Roman"/>
          <w:color w:val="000000"/>
          <w:sz w:val="24"/>
        </w:rPr>
        <w:t xml:space="preserve">Kapitalne pomoći
temeljem prijenosa EU sredstava ostvarene su u ukupnom iznosu od 64.447.591,41
EUR, a sastoje se od bespovratnih EU sredstava putem državnog proračuna sa
razdjela: </w:t>
      </w:r>
    </w:p>
    <w:p>
      <w:pPr>
        <w:spacing w:line="240"/>
        <w:jc w:val="both"/>
      </w:pPr>
      <w:r>
        <w:rPr>
          <w:rFonts w:ascii="Times New Roman" w:hAnsi="Times New Roman" w:cs="Times New Roman"/>
          <w:color w:val="000000"/>
          <w:sz w:val="24"/>
        </w:rPr>
        <w:t xml:space="preserve">Ministarstva
gospodarstva i održivog razvoja (47.012.818,29 EUR) za EU projekte poboljšanja
vodno-komunalne infrastrukture OP „Konkurentnost i kohezija 2014-2020 Prioritet
5 i 6“ za projekte obrane od poplava u iznosu 1.938.871,34 EUR, te iz Mehanizma
za oporavak i otpornost NPOO - za vodno komunalne projekte u iznosu od
40.279.613,09 EUR i za projekte obrane od poplava u iznosu 4.794.333,86 EUR.</w:t>
      </w:r>
    </w:p>
    <w:p>
      <w:pPr>
        <w:spacing w:line="240"/>
        <w:jc w:val="both"/>
      </w:pPr>
      <w:r>
        <w:rPr>
          <w:rFonts w:ascii="Times New Roman" w:hAnsi="Times New Roman" w:cs="Times New Roman"/>
          <w:color w:val="000000"/>
          <w:sz w:val="24"/>
        </w:rPr>
        <w:t xml:space="preserve">Ministarstva zaštite
okoliša i zelene tranzicije (17.434.773,12 EUR) za EU projekte iz Mehanizma za
oporavak i otpornost NPOO - za vodno komunalne projekte u iznosu od
13.332.338,36 EUR i za projekte obrane od poplava u iznosu 4.102.434,76 EUR.</w:t>
      </w:r>
    </w:p>
    <w:p>
      <w:pPr>
        <w:spacing w:line="240"/>
        <w:jc w:val="both"/>
      </w:pPr>
      <w:r>
        <w:rPr>
          <w:rFonts w:ascii="Times New Roman" w:hAnsi="Times New Roman" w:cs="Times New Roman"/>
          <w:b/>
          <w:color w:val="000000"/>
          <w:sz w:val="24"/>
        </w:rPr>
        <w:t xml:space="preserve">Prihodi od imovine </w:t>
      </w:r>
      <w:r>
        <w:rPr>
          <w:rFonts w:ascii="Times New Roman" w:hAnsi="Times New Roman" w:cs="Times New Roman"/>
          <w:color w:val="000000"/>
          <w:sz w:val="24"/>
        </w:rPr>
        <w:t xml:space="preserve">(šifra
64) ostvareni su u ukupnom iznosu 310.665,19 EUR, 24,38 % u odnosu na plan, 27,02
% manje u odnosu na isto razdoblje prošle godine, a odnose se na prihode od
financijske imovine (osnova naplaćenih zateznih kamata) i prihode od
nefinancijske imovine (osnova zakupa i iznajmljivanja imovine).</w:t>
      </w:r>
    </w:p>
    <w:p>
      <w:pPr>
        <w:spacing w:line="240"/>
        <w:jc w:val="both"/>
      </w:pPr>
      <w:r>
        <w:rPr>
          <w:rFonts w:ascii="Times New Roman" w:hAnsi="Times New Roman" w:cs="Times New Roman"/>
          <w:b/>
          <w:color w:val="000000"/>
          <w:sz w:val="24"/>
        </w:rPr>
        <w:t xml:space="preserve">Prihodi od financijske imovine</w:t>
      </w:r>
      <w:r>
        <w:rPr>
          <w:rFonts w:ascii="Times New Roman" w:hAnsi="Times New Roman" w:cs="Times New Roman"/>
          <w:color w:val="000000"/>
          <w:sz w:val="24"/>
        </w:rPr>
        <w:t xml:space="preserve"> (šifra 641) ostvareni su u iznosu 167.953,93 EUR, 16,67 % u
odnosu na plan, 29,66 % manje u odnosu na isto razdoblje prošle godine. Sastoje
se od kamate na sredstva i depozite po viđenju, prihoda od zateznih kamata s
osnove vodnih naknada i ostalih prihoda (kamata na obročnu otplatu vodnog
doprinosa).</w:t>
      </w:r>
    </w:p>
    <w:p>
      <w:pPr>
        <w:spacing w:line="240"/>
        <w:jc w:val="both"/>
      </w:pPr>
      <w:r>
        <w:rPr>
          <w:rFonts w:ascii="Times New Roman" w:hAnsi="Times New Roman" w:cs="Times New Roman"/>
          <w:b/>
          <w:color w:val="000000"/>
          <w:sz w:val="24"/>
        </w:rPr>
        <w:t xml:space="preserve">Prihodi od nefinancijske imovine</w:t>
      </w:r>
      <w:r>
        <w:rPr>
          <w:rFonts w:ascii="Times New Roman" w:hAnsi="Times New Roman" w:cs="Times New Roman"/>
          <w:color w:val="000000"/>
          <w:sz w:val="24"/>
        </w:rPr>
        <w:t xml:space="preserve"> (šifra 642) u iznosu 142.711,26 EUR, 53,50 % u odnosu na plan, 23,64
% manje u odnosu na isto razdoblje prošle godine. Sastoje se od prihoda od
zakupa i najma vodnog dobra, te prihoda od iznajmljivanja stambenih i poslovnih
prostora.</w:t>
      </w:r>
    </w:p>
    <w:p>
      <w:pPr>
        <w:spacing w:line="240"/>
        <w:jc w:val="both"/>
      </w:pPr>
      <w:r>
        <w:rPr>
          <w:rFonts w:ascii="Times New Roman" w:hAnsi="Times New Roman" w:cs="Times New Roman"/>
          <w:b/>
          <w:color w:val="000000"/>
          <w:sz w:val="24"/>
        </w:rPr>
        <w:t xml:space="preserve">Prihodi od upravnih i administrativnih pristojbi, pristojbi po
posebnim propisima i naknada </w:t>
      </w:r>
      <w:r>
        <w:rPr>
          <w:rFonts w:ascii="Times New Roman" w:hAnsi="Times New Roman" w:cs="Times New Roman"/>
          <w:color w:val="000000"/>
          <w:sz w:val="24"/>
        </w:rPr>
        <w:t xml:space="preserve">(šifra 65) ostvareni su u ukupnom iznosu od 128.656.701,87 EUR, 43,77 % u
odnosu na plan, 3,78 % manje u odnosu na isto razdoblje prošle godine.</w:t>
      </w:r>
    </w:p>
    <w:p>
      <w:pPr>
        <w:spacing w:line="240"/>
        <w:jc w:val="both"/>
      </w:pPr>
      <w:r>
        <w:rPr>
          <w:rFonts w:ascii="Times New Roman" w:hAnsi="Times New Roman" w:cs="Times New Roman"/>
          <w:color w:val="000000"/>
          <w:sz w:val="24"/>
        </w:rPr>
        <w:t xml:space="preserve">Prihodi vodnog
gospodarstva (šifra 6522) - izvorni prihodi Hrvatskih voda ostvareni su u
iznosu 128.075.467,85 EUR te ostaju na gotovo istoj razini kao i prošle godine.
Odnose se na prihode od namjenskih vodnih naknada utvrđenih Zakonom o
financiranju vodnog gospodarstva; naknada za uređenje voda, naknada za
korištenje voda, vodni doprinos i naknadu za zaštitu voda.</w:t>
      </w:r>
    </w:p>
    <w:p>
      <w:pPr>
        <w:spacing w:line="240"/>
        <w:jc w:val="both"/>
      </w:pPr>
      <w:r>
        <w:rPr>
          <w:rFonts w:ascii="Times New Roman" w:hAnsi="Times New Roman" w:cs="Times New Roman"/>
          <w:color w:val="000000"/>
          <w:sz w:val="24"/>
        </w:rPr>
        <w:t xml:space="preserve">Ostali nespomenuti
prihodi (šifra 6526) ostvareni su u iznosu od 581.234,02 EUR, 9,89 % u odnosu
na plan, 87,63% manje u odnosu na isto razdoblje prošle godine, a odnose se na
refundacije troškova iz ranijih godina, povrata sredstava iz ranijih godina, od
javnih isporučitelja vodnih usluga s naslova korištenih kredita za obnovu i
razvitak vodno-komunalne infrastrukture, refundacije s osnova naplate troškova
ovrha putem odvjetnika, refundacije troškova programa iz ranijih godina i po
konačnim obračunima radova.</w:t>
      </w:r>
    </w:p>
    <w:p>
      <w:pPr>
        <w:spacing w:line="240"/>
        <w:jc w:val="both"/>
      </w:pPr>
      <w:r>
        <w:rPr>
          <w:rFonts w:ascii="Times New Roman" w:hAnsi="Times New Roman" w:cs="Times New Roman"/>
          <w:b/>
          <w:color w:val="000000"/>
          <w:sz w:val="24"/>
        </w:rPr>
        <w:t xml:space="preserve">Prihodi od prodaje proizvoda i robe te pruženih usluga, prihodi od
donacija te povrati po protestiranim jamstvima </w:t>
      </w:r>
      <w:r>
        <w:rPr>
          <w:rFonts w:ascii="Times New Roman" w:hAnsi="Times New Roman" w:cs="Times New Roman"/>
          <w:color w:val="000000"/>
          <w:sz w:val="24"/>
        </w:rPr>
        <w:t xml:space="preserve">(šifra 66) ostvareni su u ukupnom iznosu od 4.986.480,09 EUR, 15,36
% u odnosu na plan, 61,44 % manje u odnosu na isto razdoblje prošle godine.</w:t>
      </w:r>
    </w:p>
    <w:p>
      <w:pPr>
        <w:spacing w:line="240"/>
        <w:jc w:val="both"/>
      </w:pPr>
      <w:r>
        <w:rPr>
          <w:rFonts w:ascii="Times New Roman" w:hAnsi="Times New Roman" w:cs="Times New Roman"/>
          <w:b/>
          <w:color w:val="000000"/>
          <w:sz w:val="24"/>
        </w:rPr>
        <w:t xml:space="preserve">Prihod od prodaje proizvoda i robe te pruženih usluga</w:t>
      </w:r>
      <w:r>
        <w:rPr>
          <w:rFonts w:ascii="Times New Roman" w:hAnsi="Times New Roman" w:cs="Times New Roman"/>
          <w:color w:val="000000"/>
          <w:sz w:val="24"/>
        </w:rPr>
        <w:t xml:space="preserve"> (šifra 661) ostvaren je u iznosu od  62.339,70 EUR od
kantine za vlastite potrebe.</w:t>
      </w:r>
    </w:p>
    <w:p>
      <w:pPr>
        <w:spacing w:line="240"/>
        <w:jc w:val="both"/>
      </w:pPr>
      <w:r>
        <w:rPr>
          <w:rFonts w:ascii="Times New Roman" w:hAnsi="Times New Roman" w:cs="Times New Roman"/>
          <w:b/>
          <w:color w:val="000000"/>
          <w:sz w:val="24"/>
        </w:rPr>
        <w:t xml:space="preserve">Donacije od pravnih i fizičkih osoba izvan općeg proračuna i
povrat donacija po protestiranim jamstvima </w:t>
      </w:r>
      <w:r>
        <w:rPr>
          <w:rFonts w:ascii="Times New Roman" w:hAnsi="Times New Roman" w:cs="Times New Roman"/>
          <w:color w:val="000000"/>
          <w:sz w:val="24"/>
        </w:rPr>
        <w:t xml:space="preserve">(šifra 663) ostvarene su iznosom od 4.924.140,39 EUR, 15,86 % u
odnosu na plan, 61,77% manje u odnosu na isto razdoblje prošle godine. Odnose
se na tekuće donacije (šifra 6631) u iznosu 813.170,34 EUR koje obuhvaćaju
zajedničke aktivnosti sa HEP proizvodnjom d.o.o. u zaštiti od štetnog
djelovanja voda i kapitalnim donacijama (šifra 6632) u iznosu 4.110.970,05 EUR
koje se odnose na sredstva učešća javih isporučitelja vodnih usluga za projekte
vodno-komunalne infrastrukture sufinancirane bespovratnim sredstvima EU
projekata.</w:t>
      </w:r>
    </w:p>
    <w:p>
      <w:pPr>
        <w:spacing w:line="240"/>
        <w:jc w:val="both"/>
      </w:pPr>
      <w:r>
        <w:rPr>
          <w:rFonts w:ascii="Times New Roman" w:hAnsi="Times New Roman" w:cs="Times New Roman"/>
          <w:b/>
          <w:color w:val="000000"/>
          <w:sz w:val="24"/>
        </w:rPr>
        <w:t xml:space="preserve">Prihodi od prodaje nefinancijske imovine </w:t>
      </w:r>
      <w:r>
        <w:rPr>
          <w:rFonts w:ascii="Times New Roman" w:hAnsi="Times New Roman" w:cs="Times New Roman"/>
          <w:color w:val="000000"/>
          <w:sz w:val="24"/>
        </w:rPr>
        <w:t xml:space="preserve">(šifra 7) ostvareni su u iznosu od 7.626,32 EUR, a
sastoje se od prihoda s osnove otkupa stanova sa stanarskim pravom.</w:t>
      </w:r>
      <w:r>
        <w:rPr>
          <w:rFonts w:ascii="Times New Roman" w:hAnsi="Times New Roman" w:cs="Times New Roman"/>
          <w:sz w:val="24"/>
        </w:rPr>
        <w:br/>
      </w:r>
      <w:r>
        <w:rPr>
          <w:rFonts w:ascii="Times New Roman" w:hAnsi="Times New Roman" w:cs="Times New Roman"/>
          <w:sz w:val="24"/>
        </w:rPr>
        <w:br/>
      </w:r>
    </w:p>
    <w:p>
      <w:pPr>
        <w:spacing w:line="360"/>
        <w:jc w:val="left"/>
      </w:pPr>
      <w:r>
        <w:rPr>
          <w:b/>
          <w:u w:val="single"/>
          <w:sz w:val="24"/>
          <w:rFonts w:ascii="Times New Roman" w:hAnsi="Times New Roman" w:cs="Times New Roman"/>
        </w:rPr>
        <w:br/>
        <w:t xml:space="preserve">RASHODI</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1400" w:type="pct"/>
            <w:vAlign w:val="center"/>
            <w:shd w:val="clear" w:color="auto" w:fill="#bcdffb"/>
          </w:tcPr>
          <w:p>
            <w:pPr>
              <w:spacing w:after="0" w:line="240"/>
              <w:jc w:val="center"/>
            </w:pPr>
            <w:r>
              <w:rPr>
                <w:b/>
                <w:sz w:val="18"/>
                <w:rFonts w:ascii="Times New Roman" w:hAnsi="Times New Roman" w:cs="Times New Roman"/>
              </w:rPr>
              <w:t>BROJČANA OZNAKA I NAZIV</w:t>
            </w:r>
          </w:p>
        </w:tc>
        <w:tc>
          <w:tcPr>
            <w:tcW w:w="800" w:type="pct"/>
            <w:vAlign w:val="center"/>
            <w:shd w:val="clear" w:color="auto" w:fill="#bcdffb"/>
          </w:tcPr>
          <w:p>
            <w:pPr>
              <w:spacing w:after="0" w:line="240"/>
              <w:jc w:val="center"/>
            </w:pPr>
            <w:r>
              <w:rPr>
                <w:b/>
                <w:sz w:val="18"/>
                <w:rFonts w:ascii="Times New Roman" w:hAnsi="Times New Roman" w:cs="Times New Roman"/>
              </w:rPr>
              <w:t>IZVRŠENJE</w:t>
              <w:br/>
              <w:t>1.-6. 2023.</w:t>
            </w:r>
          </w:p>
        </w:tc>
        <w:tc>
          <w:tcPr>
            <w:tcW w:w="800" w:type="pct"/>
            <w:vAlign w:val="center"/>
            <w:shd w:val="clear" w:color="auto" w:fill="#bcdffb"/>
          </w:tcPr>
          <w:p>
            <w:pPr>
              <w:spacing w:after="0" w:line="240"/>
              <w:jc w:val="center"/>
            </w:pPr>
            <w:r>
              <w:rPr>
                <w:b/>
                <w:sz w:val="18"/>
                <w:rFonts w:ascii="Times New Roman" w:hAnsi="Times New Roman" w:cs="Times New Roman"/>
              </w:rPr>
              <w:t>REBALANS</w:t>
              <w:br/>
              <w:t>2024.</w:t>
            </w:r>
          </w:p>
        </w:tc>
        <w:tc>
          <w:tcPr>
            <w:tcW w:w="800" w:type="pct"/>
            <w:vAlign w:val="center"/>
            <w:shd w:val="clear" w:color="auto" w:fill="#bcdffb"/>
          </w:tcPr>
          <w:p>
            <w:pPr>
              <w:spacing w:after="0" w:line="240"/>
              <w:jc w:val="center"/>
            </w:pPr>
            <w:r>
              <w:rPr>
                <w:b/>
                <w:sz w:val="18"/>
                <w:rFonts w:ascii="Times New Roman" w:hAnsi="Times New Roman" w:cs="Times New Roman"/>
              </w:rPr>
              <w:t>IZVRŠENJE</w:t>
              <w:br/>
              <w:t>1.-6. 2024.</w:t>
            </w:r>
          </w:p>
        </w:tc>
        <w:tc>
          <w:tcPr>
            <w:tcW w:w="500" w:type="pct"/>
            <w:vAlign w:val="center"/>
            <w:shd w:val="clear" w:color="auto" w:fill="#bcdffb"/>
          </w:tcPr>
          <w:p>
            <w:pPr>
              <w:spacing w:after="0" w:line="240"/>
              <w:jc w:val="center"/>
            </w:pPr>
            <w:r>
              <w:rPr>
                <w:b/>
                <w:sz w:val="18"/>
                <w:rFonts w:ascii="Times New Roman" w:hAnsi="Times New Roman" w:cs="Times New Roman"/>
              </w:rPr>
              <w:t>INDEKS</w:t>
            </w:r>
          </w:p>
        </w:tc>
        <w:tc>
          <w:tcPr>
            <w:tcW w:w="50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1400" w:type="pct"/>
            <w:vAlign w:val="center"/>
          </w:tcPr>
          <w:p>
            <w:pPr>
              <w:spacing w:after="0" w:line="240"/>
              <w:jc w:val="left"/>
            </w:pPr>
            <w:r>
              <w:rPr>
                <w:sz w:val="18"/>
                <w:rFonts w:ascii="Times New Roman" w:hAnsi="Times New Roman" w:cs="Times New Roman"/>
              </w:rPr>
              <w:t>3 RASHODI POSLOVANJA</w:t>
            </w:r>
          </w:p>
        </w:tc>
        <w:tc>
          <w:tcPr>
            <w:tcW w:w="800" w:type="pct"/>
            <w:vAlign w:val="bottom"/>
          </w:tcPr>
          <w:p>
            <w:pPr>
              <w:spacing w:after="0" w:line="240"/>
              <w:jc w:val="right"/>
            </w:pPr>
            <w:r>
              <w:rPr>
                <w:sz w:val="18"/>
                <w:rFonts w:ascii="Times New Roman" w:hAnsi="Times New Roman" w:cs="Times New Roman"/>
              </w:rPr>
              <w:t>321.218.639</w:t>
            </w:r>
          </w:p>
        </w:tc>
        <w:tc>
          <w:tcPr>
            <w:tcW w:w="800" w:type="pct"/>
            <w:vAlign w:val="bottom"/>
          </w:tcPr>
          <w:p>
            <w:pPr>
              <w:spacing w:after="0" w:line="240"/>
              <w:jc w:val="right"/>
            </w:pPr>
            <w:r>
              <w:rPr>
                <w:sz w:val="18"/>
                <w:rFonts w:ascii="Times New Roman" w:hAnsi="Times New Roman" w:cs="Times New Roman"/>
              </w:rPr>
              <w:t>708.149.306</w:t>
            </w:r>
          </w:p>
        </w:tc>
        <w:tc>
          <w:tcPr>
            <w:tcW w:w="800" w:type="pct"/>
            <w:vAlign w:val="bottom"/>
          </w:tcPr>
          <w:p>
            <w:pPr>
              <w:spacing w:after="0" w:line="240"/>
              <w:jc w:val="right"/>
            </w:pPr>
            <w:r>
              <w:rPr>
                <w:sz w:val="18"/>
                <w:rFonts w:ascii="Times New Roman" w:hAnsi="Times New Roman" w:cs="Times New Roman"/>
              </w:rPr>
              <w:t>221.942.127</w:t>
            </w:r>
          </w:p>
        </w:tc>
        <w:tc>
          <w:tcPr>
            <w:tcW w:w="500" w:type="pct"/>
            <w:vAlign w:val="bottom"/>
          </w:tcPr>
          <w:p>
            <w:pPr>
              <w:spacing w:after="0" w:line="240"/>
              <w:jc w:val="right"/>
            </w:pPr>
            <w:r>
              <w:rPr>
                <w:sz w:val="18"/>
                <w:rFonts w:ascii="Times New Roman" w:hAnsi="Times New Roman" w:cs="Times New Roman"/>
              </w:rPr>
              <w:t>69,1</w:t>
            </w:r>
          </w:p>
        </w:tc>
        <w:tc>
          <w:tcPr>
            <w:tcW w:w="500" w:type="pct"/>
            <w:vAlign w:val="bottom"/>
          </w:tcPr>
          <w:p>
            <w:pPr>
              <w:spacing w:after="0" w:line="240"/>
              <w:jc w:val="right"/>
            </w:pPr>
            <w:r>
              <w:rPr>
                <w:sz w:val="18"/>
                <w:rFonts w:ascii="Times New Roman" w:hAnsi="Times New Roman" w:cs="Times New Roman"/>
              </w:rPr>
              <w:t>31,3</w:t>
            </w:r>
          </w:p>
        </w:tc>
      </w:tr>
      <w:tr>
        <w:tc>
          <w:tcPr>
            <w:tcW w:w="1400" w:type="pct"/>
            <w:vAlign w:val="bottom"/>
          </w:tcPr>
          <w:p>
            <w:pPr>
              <w:spacing w:after="0" w:line="240"/>
              <w:jc w:val="left"/>
            </w:pPr>
            <w:r>
              <w:rPr>
                <w:sz w:val="18"/>
                <w:rFonts w:ascii="Times New Roman" w:hAnsi="Times New Roman" w:cs="Times New Roman"/>
              </w:rPr>
              <w:t>4 RASHODI ZA NABAVU NEFINANCIJSKE IMOVINE</w:t>
            </w:r>
          </w:p>
        </w:tc>
        <w:tc>
          <w:tcPr>
            <w:tcW w:w="800" w:type="pct"/>
            <w:vAlign w:val="bottom"/>
          </w:tcPr>
          <w:p>
            <w:pPr>
              <w:spacing w:after="0" w:line="240"/>
              <w:jc w:val="right"/>
            </w:pPr>
            <w:r>
              <w:rPr>
                <w:sz w:val="18"/>
                <w:rFonts w:ascii="Times New Roman" w:hAnsi="Times New Roman" w:cs="Times New Roman"/>
              </w:rPr>
              <w:t>21.844.929</w:t>
            </w:r>
          </w:p>
        </w:tc>
        <w:tc>
          <w:tcPr>
            <w:tcW w:w="800" w:type="pct"/>
            <w:vAlign w:val="bottom"/>
          </w:tcPr>
          <w:p>
            <w:pPr>
              <w:spacing w:after="0" w:line="240"/>
              <w:jc w:val="right"/>
            </w:pPr>
            <w:r>
              <w:rPr>
                <w:sz w:val="18"/>
                <w:rFonts w:ascii="Times New Roman" w:hAnsi="Times New Roman" w:cs="Times New Roman"/>
              </w:rPr>
              <w:t>120.243.959</w:t>
            </w:r>
          </w:p>
        </w:tc>
        <w:tc>
          <w:tcPr>
            <w:tcW w:w="800" w:type="pct"/>
            <w:vAlign w:val="bottom"/>
          </w:tcPr>
          <w:p>
            <w:pPr>
              <w:spacing w:after="0" w:line="240"/>
              <w:jc w:val="right"/>
            </w:pPr>
            <w:r>
              <w:rPr>
                <w:sz w:val="18"/>
                <w:rFonts w:ascii="Times New Roman" w:hAnsi="Times New Roman" w:cs="Times New Roman"/>
              </w:rPr>
              <w:t>41.733.221</w:t>
            </w:r>
          </w:p>
        </w:tc>
        <w:tc>
          <w:tcPr>
            <w:tcW w:w="500" w:type="pct"/>
            <w:vAlign w:val="bottom"/>
          </w:tcPr>
          <w:p>
            <w:pPr>
              <w:spacing w:after="0" w:line="240"/>
              <w:jc w:val="right"/>
            </w:pPr>
            <w:r>
              <w:rPr>
                <w:sz w:val="18"/>
                <w:rFonts w:ascii="Times New Roman" w:hAnsi="Times New Roman" w:cs="Times New Roman"/>
              </w:rPr>
              <w:t>191,0</w:t>
            </w:r>
          </w:p>
        </w:tc>
        <w:tc>
          <w:tcPr>
            <w:tcW w:w="500" w:type="pct"/>
            <w:vAlign w:val="bottom"/>
          </w:tcPr>
          <w:p>
            <w:pPr>
              <w:spacing w:after="0" w:line="240"/>
              <w:jc w:val="right"/>
            </w:pPr>
            <w:r>
              <w:rPr>
                <w:sz w:val="18"/>
                <w:rFonts w:ascii="Times New Roman" w:hAnsi="Times New Roman" w:cs="Times New Roman"/>
              </w:rPr>
              <w:t>34,7</w:t>
            </w:r>
          </w:p>
        </w:tc>
      </w:tr>
      <w:tr>
        <w:tc>
          <w:tcPr>
            <w:tcW w:w="1400" w:type="pct"/>
            <w:vAlign w:val="bottom"/>
          </w:tcPr>
          <w:p>
            <w:pPr>
              <w:spacing w:after="0" w:line="240"/>
              <w:jc w:val="left"/>
            </w:pPr>
            <w:r>
              <w:rPr>
                <w:b/>
                <w:sz w:val="18"/>
                <w:rFonts w:ascii="Times New Roman" w:hAnsi="Times New Roman" w:cs="Times New Roman"/>
              </w:rPr>
              <w:t>UKUPNI RASHODI</w:t>
            </w:r>
          </w:p>
        </w:tc>
        <w:tc>
          <w:tcPr>
            <w:tcW w:w="800" w:type="pct"/>
            <w:vAlign w:val="bottom"/>
          </w:tcPr>
          <w:p>
            <w:pPr>
              <w:spacing w:after="0" w:line="240"/>
              <w:jc w:val="right"/>
            </w:pPr>
            <w:r>
              <w:rPr>
                <w:b/>
                <w:sz w:val="18"/>
                <w:rFonts w:ascii="Times New Roman" w:hAnsi="Times New Roman" w:cs="Times New Roman"/>
              </w:rPr>
              <w:t>343.063.567</w:t>
            </w:r>
          </w:p>
        </w:tc>
        <w:tc>
          <w:tcPr>
            <w:tcW w:w="800" w:type="pct"/>
            <w:vAlign w:val="bottom"/>
          </w:tcPr>
          <w:p>
            <w:pPr>
              <w:spacing w:after="0" w:line="240"/>
              <w:jc w:val="right"/>
            </w:pPr>
            <w:r>
              <w:rPr>
                <w:b/>
                <w:sz w:val="18"/>
                <w:rFonts w:ascii="Times New Roman" w:hAnsi="Times New Roman" w:cs="Times New Roman"/>
              </w:rPr>
              <w:t>828.393.265</w:t>
            </w:r>
          </w:p>
        </w:tc>
        <w:tc>
          <w:tcPr>
            <w:tcW w:w="800" w:type="pct"/>
            <w:vAlign w:val="bottom"/>
          </w:tcPr>
          <w:p>
            <w:pPr>
              <w:spacing w:after="0" w:line="240"/>
              <w:jc w:val="right"/>
            </w:pPr>
            <w:r>
              <w:rPr>
                <w:b/>
                <w:sz w:val="18"/>
                <w:rFonts w:ascii="Times New Roman" w:hAnsi="Times New Roman" w:cs="Times New Roman"/>
              </w:rPr>
              <w:t>263.675.348</w:t>
            </w:r>
          </w:p>
        </w:tc>
        <w:tc>
          <w:tcPr>
            <w:tcW w:w="500" w:type="pct"/>
            <w:vAlign w:val="bottom"/>
          </w:tcPr>
          <w:p>
            <w:pPr>
              <w:spacing w:after="0" w:line="240"/>
              <w:jc w:val="right"/>
            </w:pPr>
            <w:r>
              <w:rPr>
                <w:b/>
                <w:sz w:val="18"/>
                <w:rFonts w:ascii="Times New Roman" w:hAnsi="Times New Roman" w:cs="Times New Roman"/>
              </w:rPr>
              <w:t>76,9</w:t>
            </w:r>
          </w:p>
        </w:tc>
        <w:tc>
          <w:tcPr>
            <w:tcW w:w="500" w:type="pct"/>
            <w:vAlign w:val="bottom"/>
          </w:tcPr>
          <w:p>
            <w:pPr>
              <w:spacing w:after="0" w:line="240"/>
              <w:jc w:val="right"/>
            </w:pPr>
            <w:r>
              <w:rPr>
                <w:b/>
                <w:sz w:val="18"/>
                <w:rFonts w:ascii="Times New Roman" w:hAnsi="Times New Roman" w:cs="Times New Roman"/>
              </w:rPr>
              <w:t>31,8</w:t>
            </w:r>
          </w:p>
        </w:tc>
      </w:tr>
    </w:tbl>
    <w:p>
      <w:pPr>
        <w:spacing w:after="0" w:line="240"/>
      </w:pPr>
    </w:p>
    <w:p>
      <w:pPr>
        <w:spacing w:line="240"/>
        <w:jc w:val="both"/>
      </w:pPr>
      <w:r>
        <w:rPr>
          <w:rFonts w:ascii="Times New Roman" w:hAnsi="Times New Roman" w:cs="Times New Roman"/>
          <w:color w:val="000000"/>
          <w:sz w:val="24"/>
        </w:rPr>
        <w:t xml:space="preserve">U razdoblju siječanj -
lipanj 2024. godine ukupni rashodi poslovanja (šifra 3) ostvareni su iznosom
od  221.942.127,22 EUR, 31,34 % u odnosu na plan, 30,91 % manje u odnosu
na isto razdoblje prošle godine. U okviru ovih rashoda ostvareni su rashodi
kako slijedi:</w:t>
      </w:r>
    </w:p>
    <w:p>
      <w:pPr>
        <w:spacing w:line="240"/>
        <w:jc w:val="both"/>
      </w:pPr>
      <w:r>
        <w:rPr>
          <w:rFonts w:ascii="Times New Roman" w:hAnsi="Times New Roman" w:cs="Times New Roman"/>
          <w:b/>
          <w:color w:val="000000"/>
          <w:sz w:val="24"/>
        </w:rPr>
        <w:t xml:space="preserve">Rashodi za zaposlene </w:t>
      </w:r>
      <w:r>
        <w:rPr>
          <w:rFonts w:ascii="Times New Roman" w:hAnsi="Times New Roman" w:cs="Times New Roman"/>
          <w:color w:val="000000"/>
          <w:sz w:val="24"/>
        </w:rPr>
        <w:t xml:space="preserve">(šifra 31) iznose 15.570.077,03 EUR, 48,28 % u odnosu na plan,
4,95 % više u odnosu na isto razdoblje prošle godine, iz razloga što je
potpisan dodatak kolektivnom ugovoru za vodno gospodarstvo, čime su povećana
određena materijalna prava radnika (povećanje osnovne plaće za 10 posto, uvođenje
mjesečne naknade za prehranu, povećanje stalnog dodatka na plaću sa 500 kuna
(66,36 eura) na 100 eura, povećanje solidarne pomoći u slučaju smrti bračnog
druga, djeteta i roditelja radnika, posvojene i udomljene djece i djece na
skrbi te punoljetne osobe kojoj je porezni obveznik imenovan skrbnikom prema
posebnom zakonu). Rashodi za zaposlene se  odnose na plaće, ostale rashode
za zaposlene (neoporezive naknade: jubilarne nagrade, uskrsnica, regres,
naknade za odlazak u mirovinu, naknade za bolest, invalidnost i smrtni slučaj,
potpore za novorođenu djecu) te doprinose na plaću.</w:t>
      </w:r>
    </w:p>
    <w:p>
      <w:pPr>
        <w:spacing w:line="240"/>
        <w:jc w:val="both"/>
      </w:pPr>
      <w:r>
        <w:rPr>
          <w:rFonts w:ascii="Times New Roman" w:hAnsi="Times New Roman" w:cs="Times New Roman"/>
          <w:b/>
          <w:color w:val="000000"/>
          <w:sz w:val="24"/>
        </w:rPr>
        <w:t xml:space="preserve">Materijalni rashodi </w:t>
      </w:r>
      <w:r>
        <w:rPr>
          <w:rFonts w:ascii="Times New Roman" w:hAnsi="Times New Roman" w:cs="Times New Roman"/>
          <w:color w:val="000000"/>
          <w:sz w:val="24"/>
        </w:rPr>
        <w:t xml:space="preserve">(šifra 32)</w:t>
      </w:r>
      <w:r>
        <w:rPr>
          <w:rFonts w:ascii="Times New Roman" w:hAnsi="Times New Roman" w:cs="Times New Roman"/>
          <w:b/>
          <w:color w:val="000000"/>
          <w:sz w:val="24"/>
        </w:rPr>
        <w:t xml:space="preserve"> </w:t>
      </w:r>
      <w:r>
        <w:rPr>
          <w:rFonts w:ascii="Times New Roman" w:hAnsi="Times New Roman" w:cs="Times New Roman"/>
          <w:color w:val="000000"/>
          <w:sz w:val="24"/>
        </w:rPr>
        <w:t xml:space="preserve">iznose
68.003.206,77 EUR, 42,79 % u odnosu na plan, 13,56% manje u odnosu na isto
razdoblje prošle godine, a odnose se na naknade troškova zaposlenima, rashode
za materijal i energiju, rashode za usluge, i ostale nespomenute rashode
poslovanja. Najznačajniji iznos ostvaren je u okviru rashoda za usluge (šifra
323) 65.021.391,36 EUR koji iznos se odnosi najvećim dijelom  na rashode
za tekuće i investicijsko održavanje (šifra 3232) – 50.145.646,95 EUR; za
preventivnu, redovnu i izvanrednu obranu od poplava na vodnim područjima za
redovno održavanje i obnavljanje vodotoka, vodnih građevina i vodnoga dobra te
održavanje i obnavljanje detaljnih melioracijskih građevina za odvodnju i navodnjavanje
(49.986.519,70 EUR) i za tekuće i investicijsko održavanje poslovnih prostora,
postrojenja i opreme i prijevoznih sredstava (159.127,25 EUR). U okviru ovih
rashoda nalaze se i rashodi za ostale usluge (šifra 3239) ostvareni iznosom od
10.371.350,52 EUR, a isti se prvenstveno odnose na rashode za tehničke poslove
od općeg interesa za upravljanje vodama (praćenje stanja voda, istražne radove,
planske dokumente, idejna rješenja, studije utjecaja na okoliš, ocjene
prihvatljivosti zahvata za prirodu, projekata s međunarodnim sufinanciranjem i
ostalo) ostvarene iznosom 1.023.661,31 EUR i izdatke za obračun i naplatu
naknada ostvarene iznosom 8.511.662,44 EUR (zakonska obaveza plaćanja naknade
od 5% za usluge obračuna i naplate naknade za zaštitu i korištenje voda pravnim
osobama koje obavljaju vodoopskrbnu djelatnost i 10% pravnim osobama, odnosno
jedinicama lokalne samouprave koje obavljaju poslove utvrđivanja i naplate
komunalne naknade i uz to naplaćuju i naknadu za uređenje voda), i ostalo
ostvareno iznosom od 836.026,77 EUR (usluge uređenja prostora, usluge pri
registraciji vozila, usluge čišćenja i pranja, usluge čuvanja imovine i sl.).</w:t>
      </w:r>
    </w:p>
    <w:p>
      <w:pPr>
        <w:spacing w:line="240"/>
        <w:jc w:val="both"/>
      </w:pPr>
      <w:r>
        <w:rPr>
          <w:rFonts w:ascii="Times New Roman" w:hAnsi="Times New Roman" w:cs="Times New Roman"/>
          <w:b/>
          <w:color w:val="000000"/>
          <w:sz w:val="24"/>
        </w:rPr>
        <w:t xml:space="preserve">Financijski rashodi </w:t>
      </w:r>
      <w:r>
        <w:rPr>
          <w:rFonts w:ascii="Times New Roman" w:hAnsi="Times New Roman" w:cs="Times New Roman"/>
          <w:color w:val="000000"/>
          <w:sz w:val="24"/>
        </w:rPr>
        <w:t xml:space="preserve">(šifra 34) ostvareni su iznosom od 2.766.583,14 EUR, 38,33 % u
odnosu na plan, 43,29% više u odnosu na isto razdoblje prošle godine a odnose
se na povećane otplate kamata po kreditima HBOR-a i domaćih banaka, kamata po
kreditima od drugih razina vlasti (EIB, CEB) i ostale rashode (bankarske usluge
i platni promet, tečajne razlike i zatezne kamate).</w:t>
      </w:r>
    </w:p>
    <w:p>
      <w:pPr>
        <w:spacing w:line="240"/>
        <w:jc w:val="both"/>
      </w:pPr>
      <w:r>
        <w:rPr>
          <w:rFonts w:ascii="Times New Roman" w:hAnsi="Times New Roman" w:cs="Times New Roman"/>
          <w:color w:val="000000"/>
          <w:sz w:val="24"/>
        </w:rPr>
        <w:t xml:space="preserve">Rashodi za</w:t>
      </w:r>
      <w:r>
        <w:rPr>
          <w:rFonts w:ascii="Times New Roman" w:hAnsi="Times New Roman" w:cs="Times New Roman"/>
          <w:b/>
          <w:color w:val="000000"/>
          <w:sz w:val="24"/>
        </w:rPr>
        <w:t xml:space="preserve"> Subvencije </w:t>
      </w:r>
      <w:r>
        <w:rPr>
          <w:rFonts w:ascii="Times New Roman" w:hAnsi="Times New Roman" w:cs="Times New Roman"/>
          <w:color w:val="000000"/>
          <w:sz w:val="24"/>
        </w:rPr>
        <w:t xml:space="preserve">(šifra 35) ostvareni su
iznosom 105.209,34 EUR, na istoj razini u odnosu na isto razdoblje prošle
godine, a odnose se na subvencije trgovačkim društvima u javnom sektoru
(Vodovod d.o.o. Korenica - sufinanciranje mobilnog uređaja za pročišćavanje
otpadnih voda na području nacionalnog parka Plitvička jezera).</w:t>
      </w:r>
    </w:p>
    <w:p>
      <w:pPr>
        <w:spacing w:line="240"/>
        <w:jc w:val="both"/>
      </w:pPr>
      <w:r>
        <w:rPr>
          <w:rFonts w:ascii="Times New Roman" w:hAnsi="Times New Roman" w:cs="Times New Roman"/>
          <w:b/>
          <w:color w:val="000000"/>
          <w:sz w:val="24"/>
        </w:rPr>
        <w:t xml:space="preserve">Pomoći dane u inozemstvo i unutar općeg proračuna </w:t>
      </w:r>
      <w:r>
        <w:rPr>
          <w:rFonts w:ascii="Times New Roman" w:hAnsi="Times New Roman" w:cs="Times New Roman"/>
          <w:color w:val="000000"/>
          <w:sz w:val="24"/>
        </w:rPr>
        <w:t xml:space="preserve">(šifra 36)</w:t>
      </w:r>
      <w:r>
        <w:rPr>
          <w:rFonts w:ascii="Times New Roman" w:hAnsi="Times New Roman" w:cs="Times New Roman"/>
          <w:b/>
          <w:color w:val="000000"/>
          <w:sz w:val="24"/>
        </w:rPr>
        <w:t xml:space="preserve"> </w:t>
      </w:r>
      <w:r>
        <w:rPr>
          <w:rFonts w:ascii="Times New Roman" w:hAnsi="Times New Roman" w:cs="Times New Roman"/>
          <w:color w:val="000000"/>
          <w:sz w:val="24"/>
        </w:rPr>
        <w:t xml:space="preserve">iznose
5.291.586,69 EUR, 34,78 % u odnosu na plan, 11,82 % više u odnosu na isto
razdoblje prošle godine. Odnose se na pomoći unutar općeg proračuna (šifra 363)
ostvarene iznosom od 5.212.498,95 EUR - tekuće pomoći državnom proračunu –
Institut za vode Josip Juraj Strossmayer 4.311.000,00 EUR, sufinanciranje
jedinica lokalne samouprave za revidiranje podataka iz očevidnika koje u ime i
za račun Hrvatskih voda vrše naplatu naknade za uređenje voda 46.700,91 EUR,
tekuće pomoći državnom proračunu Državna geodetska uprava za multi-senzorno
zračno snimanje 50.000,00 EUR i kapitalne pomoći državnom proračunu – Institut
za vode Josip Juraj Strossmayer 217.500,00 EUR, kapitalne pomoći općinama iz
područja štetnog djelovanja voda 28.631,63 EUR, sanacija klizišta 522.841,52
EUR i navodnjavanja 35.824,89 EUR.</w:t>
      </w:r>
    </w:p>
    <w:p>
      <w:pPr>
        <w:spacing w:line="240"/>
        <w:jc w:val="both"/>
      </w:pPr>
      <w:r>
        <w:rPr>
          <w:rFonts w:ascii="Times New Roman" w:hAnsi="Times New Roman" w:cs="Times New Roman"/>
          <w:b/>
          <w:color w:val="000000"/>
          <w:sz w:val="24"/>
        </w:rPr>
        <w:t xml:space="preserve">Ostali rashodi </w:t>
      </w:r>
      <w:r>
        <w:rPr>
          <w:rFonts w:ascii="Times New Roman" w:hAnsi="Times New Roman" w:cs="Times New Roman"/>
          <w:color w:val="000000"/>
          <w:sz w:val="24"/>
        </w:rPr>
        <w:t xml:space="preserve">(šifra 38) iznose 130.205.464,25 EUR, 26,34 % u odnosu na plan, 41,07 % manje u
odnosu na isto razdoblje prošle godine. Odnose se na tekuće donacije i
kapitalne pomoći.</w:t>
      </w:r>
    </w:p>
    <w:p>
      <w:pPr>
        <w:spacing w:line="240"/>
        <w:jc w:val="both"/>
      </w:pPr>
      <w:r>
        <w:rPr>
          <w:rFonts w:ascii="Times New Roman" w:hAnsi="Times New Roman" w:cs="Times New Roman"/>
          <w:color w:val="000000"/>
          <w:sz w:val="24"/>
        </w:rPr>
        <w:t xml:space="preserve">Najznačajniji iznos u
okviru ovih rashoda predstavljaju kapitalne pomoći (šifra 386) ostvarene
iznosom od 130.183.473,36 EUR, 26,35 % u odnosu na plan, 41,08% manje u odnosu
na isto razdoblje prošle godine. Odnose se na kapitalne pomoći javnim
isporučiteljima vodnih usluga (šifra 3861) – 79.432.708,41 EUR i na Kapitalne
pomoći iz EU sredstava (šifra 3864) – 50.750.764,95 EUR (u okviru programa
investicijskih aktivnosti – Ulaganja u obnovu i razvitak vodoopskrbe, Ulaganja
u objekte zaštite voda i mora od zagađivanja, projekata iz EU fondova i
projekata iz Mehanizma za oporavak i otpornost sa izvorima financiranja -
državnim proračunom, učešćem javnih isporučitelja vodnih usluga, jedinicama
lokalne samouprave i izvornim prihodima Hrvatskih voda).</w:t>
      </w:r>
    </w:p>
    <w:p>
      <w:pPr>
        <w:spacing w:line="240"/>
        <w:jc w:val="both"/>
      </w:pPr>
      <w:r>
        <w:rPr>
          <w:rFonts w:ascii="Times New Roman" w:hAnsi="Times New Roman" w:cs="Times New Roman"/>
          <w:b/>
          <w:color w:val="000000"/>
          <w:sz w:val="24"/>
        </w:rPr>
        <w:t xml:space="preserve">Rashodi za nabavu nefinancijske imovine </w:t>
      </w:r>
      <w:r>
        <w:rPr>
          <w:rFonts w:ascii="Times New Roman" w:hAnsi="Times New Roman" w:cs="Times New Roman"/>
          <w:color w:val="000000"/>
          <w:sz w:val="24"/>
        </w:rPr>
        <w:t xml:space="preserve">(šifra 4) ostvareni su u iznosu od 41.733.220,78 EUR, 34,71 % u
odnosu na plan, odnosno 91,04% više u odnosu na isto razdoblje prošle godine. </w:t>
      </w:r>
    </w:p>
    <w:p>
      <w:pPr>
        <w:spacing w:line="240"/>
        <w:jc w:val="both"/>
      </w:pPr>
      <w:r>
        <w:rPr>
          <w:rFonts w:ascii="Times New Roman" w:hAnsi="Times New Roman" w:cs="Times New Roman"/>
          <w:color w:val="000000"/>
          <w:sz w:val="24"/>
        </w:rPr>
        <w:t xml:space="preserve">Rashodi za nabavu
neproizvedene dugotrajne imovine (šifra 41) ostvareni su u iznosu od 653.813,56
EUR, 27,37 % u odnosu na plan, 48,32% manje u odnosu na isto razdoblje prošle
godine, a odnose se na troškove kupnje i izvlaštenja zemljišta potrebnih za
gradnju vodnih građevina.</w:t>
      </w:r>
    </w:p>
    <w:p>
      <w:pPr>
        <w:spacing w:line="240"/>
        <w:jc w:val="both"/>
      </w:pPr>
      <w:r>
        <w:rPr>
          <w:rFonts w:ascii="Times New Roman" w:hAnsi="Times New Roman" w:cs="Times New Roman"/>
          <w:color w:val="000000"/>
          <w:sz w:val="24"/>
        </w:rPr>
        <w:t xml:space="preserve">Rashodi za građevinske
objekte (šifra 421) ostvareni su u iznosu od 11.415.864,31 EUR,  24,12 % u
odnosu na plan, odnosno 40,40 % više u odnosu na isto razdoblje prošle godine i
to za ulaganja u vodne građevine zaštite od štetnog djelovanja voda – razvoj
sustava zaštite od poplava i drugih oblika štetnog djelovanja voda i ulaganja
vezana za projekte navodnjavanja (sustavi izgradnje navodnjavanja) i projekte
sufinancirane sredstvima EU-a.</w:t>
      </w:r>
    </w:p>
    <w:p>
      <w:pPr>
        <w:spacing w:line="240"/>
        <w:jc w:val="both"/>
      </w:pPr>
      <w:r>
        <w:rPr>
          <w:rFonts w:ascii="Times New Roman" w:hAnsi="Times New Roman" w:cs="Times New Roman"/>
          <w:color w:val="000000"/>
          <w:sz w:val="24"/>
        </w:rPr>
        <w:t xml:space="preserve">Rashodi Postrojenja i
oprema (šifra 422) ostvareni su u iznosu od 1.697.428,21 EUR, 23,08 % u odnosu
na plan, odnosno 25,79 % manje u odnosu na isto razdoblje prošle godine i
odnose se na rashode za unapređenje sustava za hidrološko praćenje površinskih
voda te uspostavu nadzornog upravljačkog sustava na hidrološkim postajama u
okviru EU projekta unapređenja negrađevinskih mjera upravljanja rizicima od
poplava, nabavku uredske opreme i namještaja, komunikacijske opreme.</w:t>
      </w:r>
    </w:p>
    <w:p>
      <w:pPr>
        <w:spacing w:line="240"/>
        <w:jc w:val="both"/>
      </w:pPr>
      <w:r>
        <w:rPr>
          <w:rFonts w:ascii="Times New Roman" w:hAnsi="Times New Roman" w:cs="Times New Roman"/>
          <w:color w:val="000000"/>
          <w:sz w:val="24"/>
        </w:rPr>
        <w:t xml:space="preserve">Rashodi Ulaganja u
računalne programe (šifra 426) ostvareni su u iznosu od 936.664,08 EUR, 42,28 %
u odnosu na plan,  odnosno 130,99 % više
u odnosu na isto razdoblje prošle godine i odnose se na nadogradnju postojećih
informacijskih sustava Hrvatskih voda.</w:t>
      </w:r>
    </w:p>
    <w:p>
      <w:pPr>
        <w:spacing w:line="240"/>
        <w:jc w:val="both"/>
      </w:pPr>
      <w:r>
        <w:rPr>
          <w:rFonts w:ascii="Times New Roman" w:hAnsi="Times New Roman" w:cs="Times New Roman"/>
          <w:color w:val="000000"/>
          <w:sz w:val="24"/>
        </w:rPr>
        <w:t xml:space="preserve">Rashodi za dodatna
ulaganja na građevinskim objektima (šifra 451) ostvareni su u iznosu od
27.029.450,62 EUR, 44,35 % u odnosu na plan, odnosno 177,06% više u odnosu na
isto razdoblje prošle godine i odnose se na rekonstrukciju i dogradnju vodnih
građevina (brana, nasipa, ustava, obaloutvrda, retencija i dr.).</w:t>
      </w:r>
    </w:p>
    <w:p>
      <w:pPr>
        <w:spacing w:line="360"/>
        <w:jc w:val="left"/>
      </w:pPr>
      <w:r>
        <w:rPr>
          <w:b/>
          <w:u w:val="single"/>
          <w:sz w:val="24"/>
          <w:rFonts w:ascii="Times New Roman" w:hAnsi="Times New Roman" w:cs="Times New Roman"/>
        </w:rPr>
        <w:br/>
        <w:t xml:space="preserve">RAČUN FINANCIRANJA</w:t>
      </w:r>
    </w:p>
    <w:p>
      <w:pPr>
        <w:spacing w:line="360"/>
        <w:jc w:val="left"/>
      </w:pPr>
      <w:r>
        <w:rPr>
          <w:b/>
          <w:u w:val="single"/>
          <w:sz w:val="24"/>
          <w:rFonts w:ascii="Times New Roman" w:hAnsi="Times New Roman" w:cs="Times New Roman"/>
        </w:rPr>
        <w:t xml:space="preserve">Račun prihoda i rashoda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2500" w:type="pct"/>
            <w:vAlign w:val="center"/>
            <w:shd w:val="clear" w:color="auto" w:fill="#bcdffb"/>
          </w:tcPr>
          <w:p>
            <w:pPr>
              <w:spacing w:after="0" w:line="240"/>
              <w:jc w:val="center"/>
            </w:pPr>
            <w:r>
              <w:rPr>
                <w:b/>
                <w:sz w:val="18"/>
                <w:rFonts w:ascii="Times New Roman" w:hAnsi="Times New Roman" w:cs="Times New Roman"/>
              </w:rPr>
              <w:t>BROJČANA OZNAKA I NAZIV</w:t>
            </w:r>
          </w:p>
        </w:tc>
        <w:tc>
          <w:tcPr>
            <w:tcW w:w="1000" w:type="pct"/>
            <w:vAlign w:val="center"/>
            <w:shd w:val="clear" w:color="auto" w:fill="#bcdffb"/>
          </w:tcPr>
          <w:p>
            <w:pPr>
              <w:spacing w:after="0" w:line="240"/>
              <w:jc w:val="center"/>
            </w:pPr>
            <w:r>
              <w:rPr>
                <w:b/>
                <w:sz w:val="18"/>
                <w:rFonts w:ascii="Times New Roman" w:hAnsi="Times New Roman" w:cs="Times New Roman"/>
              </w:rPr>
              <w:t>REBALANS</w:t>
              <w:br/>
              <w:t>2024.</w:t>
            </w:r>
          </w:p>
        </w:tc>
        <w:tc>
          <w:tcPr>
            <w:tcW w:w="1000" w:type="pct"/>
            <w:vAlign w:val="center"/>
            <w:shd w:val="clear" w:color="auto" w:fill="#bcdffb"/>
          </w:tcPr>
          <w:p>
            <w:pPr>
              <w:spacing w:after="0" w:line="240"/>
              <w:jc w:val="center"/>
            </w:pPr>
            <w:r>
              <w:rPr>
                <w:b/>
                <w:sz w:val="18"/>
                <w:rFonts w:ascii="Times New Roman" w:hAnsi="Times New Roman" w:cs="Times New Roman"/>
              </w:rPr>
              <w:t>OSTVARENJE/</w:t>
              <w:br/>
              <w:t>IZVRŠENJE 1.-6. 2024.</w:t>
            </w:r>
          </w:p>
        </w:tc>
        <w:tc>
          <w:tcPr>
            <w:tcW w:w="800" w:type="pct"/>
            <w:vAlign w:val="center"/>
            <w:shd w:val="clear" w:color="auto" w:fill="#bcdffb"/>
          </w:tcPr>
          <w:p>
            <w:pPr>
              <w:spacing w:after="0" w:line="240"/>
              <w:jc w:val="center"/>
            </w:pPr>
            <w:r>
              <w:rPr>
                <w:b/>
                <w:sz w:val="18"/>
                <w:rFonts w:ascii="Times New Roman" w:hAnsi="Times New Roman" w:cs="Times New Roman"/>
              </w:rPr>
              <w:t>INDEKS</w:t>
            </w:r>
          </w:p>
        </w:tc>
      </w:tr>
      <w:tr>
        <w:tc>
          <w:tcPr>
            <w:tcW w:w="2500" w:type="pct"/>
            <w:vAlign w:val="center"/>
            <w:shd w:val="clear" w:color="auto" w:fill="#bcdffb"/>
          </w:tcPr>
          <w:p>
            <w:pPr>
              <w:spacing w:after="0" w:line="240"/>
              <w:jc w:val="center"/>
            </w:pPr>
            <w:r>
              <w:rPr>
                <w:sz w:val="14"/>
                <w:rFonts w:ascii="Times New Roman" w:hAnsi="Times New Roman" w:cs="Times New Roman"/>
              </w:rPr>
              <w:t>1</w:t>
            </w:r>
          </w:p>
        </w:tc>
        <w:tc>
          <w:tcPr>
            <w:tcW w:w="1000" w:type="pct"/>
            <w:vAlign w:val="center"/>
            <w:shd w:val="clear" w:color="auto" w:fill="#bcdffb"/>
          </w:tcPr>
          <w:p>
            <w:pPr>
              <w:spacing w:after="0" w:line="240"/>
              <w:jc w:val="center"/>
            </w:pPr>
            <w:r>
              <w:rPr>
                <w:sz w:val="14"/>
                <w:rFonts w:ascii="Times New Roman" w:hAnsi="Times New Roman" w:cs="Times New Roman"/>
              </w:rPr>
              <w:t>2</w:t>
            </w:r>
          </w:p>
        </w:tc>
        <w:tc>
          <w:tcPr>
            <w:tcW w:w="10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4=3/2</w:t>
            </w:r>
          </w:p>
        </w:tc>
      </w:tr>
      <w:tr>
        <w:tc>
          <w:tcPr>
            <w:tcW w:w="2500" w:type="pct"/>
            <w:vAlign w:val="center"/>
          </w:tcPr>
          <w:p>
            <w:pPr>
              <w:spacing w:after="0" w:line="240"/>
              <w:jc w:val="left"/>
            </w:pPr>
            <w:r>
              <w:rPr>
                <w:sz w:val="18"/>
                <w:rFonts w:ascii="Times New Roman" w:hAnsi="Times New Roman" w:cs="Times New Roman"/>
              </w:rPr>
              <w:t>UKUPNI PRIHODI</w:t>
            </w:r>
          </w:p>
        </w:tc>
        <w:tc>
          <w:tcPr>
            <w:tcW w:w="1000" w:type="pct"/>
            <w:vAlign w:val="bottom"/>
          </w:tcPr>
          <w:p>
            <w:pPr>
              <w:spacing w:after="0" w:line="240"/>
              <w:jc w:val="right"/>
            </w:pPr>
            <w:r>
              <w:rPr>
                <w:sz w:val="18"/>
                <w:rFonts w:ascii="Times New Roman" w:hAnsi="Times New Roman" w:cs="Times New Roman"/>
              </w:rPr>
              <w:t>793.354.444</w:t>
            </w:r>
          </w:p>
        </w:tc>
        <w:tc>
          <w:tcPr>
            <w:tcW w:w="1000" w:type="pct"/>
            <w:vAlign w:val="bottom"/>
          </w:tcPr>
          <w:p>
            <w:pPr>
              <w:spacing w:after="0" w:line="240"/>
              <w:jc w:val="right"/>
            </w:pPr>
            <w:r>
              <w:rPr>
                <w:sz w:val="18"/>
                <w:rFonts w:ascii="Times New Roman" w:hAnsi="Times New Roman" w:cs="Times New Roman"/>
              </w:rPr>
              <w:t>262.973.485</w:t>
            </w:r>
          </w:p>
        </w:tc>
        <w:tc>
          <w:tcPr>
            <w:tcW w:w="800" w:type="pct"/>
            <w:vAlign w:val="bottom"/>
          </w:tcPr>
          <w:p>
            <w:pPr>
              <w:spacing w:after="0" w:line="240"/>
              <w:jc w:val="right"/>
            </w:pPr>
            <w:r>
              <w:rPr>
                <w:sz w:val="18"/>
                <w:rFonts w:ascii="Times New Roman" w:hAnsi="Times New Roman" w:cs="Times New Roman"/>
              </w:rPr>
              <w:t>33,1</w:t>
            </w:r>
          </w:p>
        </w:tc>
      </w:tr>
      <w:tr>
        <w:tc>
          <w:tcPr>
            <w:tcW w:w="2500" w:type="pct"/>
            <w:vAlign w:val="bottom"/>
          </w:tcPr>
          <w:p>
            <w:pPr>
              <w:spacing w:after="0" w:line="240"/>
              <w:jc w:val="left"/>
            </w:pPr>
            <w:r>
              <w:rPr>
                <w:sz w:val="18"/>
                <w:rFonts w:ascii="Times New Roman" w:hAnsi="Times New Roman" w:cs="Times New Roman"/>
              </w:rPr>
              <w:t>UKUPNI RASHODI</w:t>
            </w:r>
          </w:p>
        </w:tc>
        <w:tc>
          <w:tcPr>
            <w:tcW w:w="1000" w:type="pct"/>
            <w:vAlign w:val="bottom"/>
          </w:tcPr>
          <w:p>
            <w:pPr>
              <w:spacing w:after="0" w:line="240"/>
              <w:jc w:val="right"/>
            </w:pPr>
            <w:r>
              <w:rPr>
                <w:sz w:val="18"/>
                <w:rFonts w:ascii="Times New Roman" w:hAnsi="Times New Roman" w:cs="Times New Roman"/>
              </w:rPr>
              <w:t>828.393.265</w:t>
            </w:r>
          </w:p>
        </w:tc>
        <w:tc>
          <w:tcPr>
            <w:tcW w:w="1000" w:type="pct"/>
            <w:vAlign w:val="bottom"/>
          </w:tcPr>
          <w:p>
            <w:pPr>
              <w:spacing w:after="0" w:line="240"/>
              <w:jc w:val="right"/>
            </w:pPr>
            <w:r>
              <w:rPr>
                <w:sz w:val="18"/>
                <w:rFonts w:ascii="Times New Roman" w:hAnsi="Times New Roman" w:cs="Times New Roman"/>
              </w:rPr>
              <w:t>263.675.348</w:t>
            </w:r>
          </w:p>
        </w:tc>
        <w:tc>
          <w:tcPr>
            <w:tcW w:w="800" w:type="pct"/>
            <w:vAlign w:val="bottom"/>
          </w:tcPr>
          <w:p>
            <w:pPr>
              <w:spacing w:after="0" w:line="240"/>
              <w:jc w:val="right"/>
            </w:pPr>
            <w:r>
              <w:rPr>
                <w:sz w:val="18"/>
                <w:rFonts w:ascii="Times New Roman" w:hAnsi="Times New Roman" w:cs="Times New Roman"/>
              </w:rPr>
              <w:t>31,8</w:t>
            </w:r>
          </w:p>
        </w:tc>
      </w:tr>
      <w:tr>
        <w:tc>
          <w:tcPr>
            <w:tcW w:w="2500" w:type="pct"/>
            <w:vAlign w:val="bottom"/>
          </w:tcPr>
          <w:p>
            <w:pPr>
              <w:spacing w:after="0" w:line="240"/>
              <w:jc w:val="left"/>
            </w:pPr>
            <w:r>
              <w:rPr>
                <w:b/>
                <w:sz w:val="18"/>
                <w:rFonts w:ascii="Times New Roman" w:hAnsi="Times New Roman" w:cs="Times New Roman"/>
              </w:rPr>
              <w:t>RAZLIKA - VIŠAK/MANJAK</w:t>
            </w:r>
          </w:p>
        </w:tc>
        <w:tc>
          <w:tcPr>
            <w:tcW w:w="1000" w:type="pct"/>
            <w:vAlign w:val="bottom"/>
          </w:tcPr>
          <w:p>
            <w:pPr>
              <w:spacing w:after="0" w:line="240"/>
              <w:jc w:val="right"/>
            </w:pPr>
            <w:r>
              <w:rPr>
                <w:b/>
                <w:sz w:val="18"/>
                <w:rFonts w:ascii="Times New Roman" w:hAnsi="Times New Roman" w:cs="Times New Roman"/>
              </w:rPr>
              <w:t>-35.038.821</w:t>
            </w:r>
          </w:p>
        </w:tc>
        <w:tc>
          <w:tcPr>
            <w:tcW w:w="800" w:type="pct"/>
            <w:vAlign w:val="bottom"/>
          </w:tcPr>
          <w:p>
            <w:pPr>
              <w:spacing w:after="0" w:line="240"/>
              <w:jc w:val="right"/>
            </w:pPr>
            <w:r>
              <w:rPr>
                <w:b/>
                <w:sz w:val="18"/>
                <w:rFonts w:ascii="Times New Roman" w:hAnsi="Times New Roman" w:cs="Times New Roman"/>
              </w:rPr>
              <w:t>-701.863</w:t>
            </w:r>
          </w:p>
        </w:tc>
        <w:tc>
          <w:tcPr>
            <w:tcW w:w="800" w:type="pct"/>
            <w:vAlign w:val="bottom"/>
          </w:tcPr>
          <w:p>
            <w:pPr>
              <w:spacing w:after="0" w:line="240"/>
              <w:jc w:val="right"/>
            </w:pPr>
            <w:r>
              <w:rPr>
                <w:b/>
                <w:sz w:val="18"/>
                <w:rFonts w:ascii="Times New Roman" w:hAnsi="Times New Roman" w:cs="Times New Roman"/>
              </w:rPr>
              <w:t>2,0</w:t>
            </w:r>
          </w:p>
        </w:tc>
      </w:tr>
    </w:tbl>
    <w:p>
      <w:pPr>
        <w:spacing w:after="0" w:line="240"/>
      </w:pPr>
    </w:p>
    <w:p>
      <w:pPr>
        <w:spacing w:line="360"/>
        <w:jc w:val="left"/>
      </w:pPr>
      <w:r>
        <w:rPr>
          <w:b/>
          <w:u w:val="single"/>
          <w:sz w:val="24"/>
          <w:rFonts w:ascii="Times New Roman" w:hAnsi="Times New Roman" w:cs="Times New Roman"/>
        </w:rPr>
        <w:t xml:space="preserve">Račun financiranja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2500" w:type="pct"/>
            <w:vAlign w:val="center"/>
            <w:shd w:val="clear" w:color="auto" w:fill="#bcdffb"/>
          </w:tcPr>
          <w:p>
            <w:pPr>
              <w:spacing w:after="0" w:line="240"/>
              <w:jc w:val="center"/>
            </w:pPr>
            <w:r>
              <w:rPr>
                <w:b/>
                <w:sz w:val="18"/>
                <w:rFonts w:ascii="Times New Roman" w:hAnsi="Times New Roman" w:cs="Times New Roman"/>
              </w:rPr>
              <w:t>BROJČANA OZNAKA I NAZIV</w:t>
            </w:r>
          </w:p>
        </w:tc>
        <w:tc>
          <w:tcPr>
            <w:tcW w:w="1000" w:type="pct"/>
            <w:vAlign w:val="center"/>
            <w:shd w:val="clear" w:color="auto" w:fill="#bcdffb"/>
          </w:tcPr>
          <w:p>
            <w:pPr>
              <w:spacing w:after="0" w:line="240"/>
              <w:jc w:val="center"/>
            </w:pPr>
            <w:r>
              <w:rPr>
                <w:b/>
                <w:sz w:val="18"/>
                <w:rFonts w:ascii="Times New Roman" w:hAnsi="Times New Roman" w:cs="Times New Roman"/>
              </w:rPr>
              <w:t>REBALANS</w:t>
              <w:br/>
              <w:t>2024.</w:t>
            </w:r>
          </w:p>
        </w:tc>
        <w:tc>
          <w:tcPr>
            <w:tcW w:w="1000" w:type="pct"/>
            <w:vAlign w:val="center"/>
            <w:shd w:val="clear" w:color="auto" w:fill="#bcdffb"/>
          </w:tcPr>
          <w:p>
            <w:pPr>
              <w:spacing w:after="0" w:line="240"/>
              <w:jc w:val="center"/>
            </w:pPr>
            <w:r>
              <w:rPr>
                <w:b/>
                <w:sz w:val="18"/>
                <w:rFonts w:ascii="Times New Roman" w:hAnsi="Times New Roman" w:cs="Times New Roman"/>
              </w:rPr>
              <w:t>OSTVARENJE/</w:t>
              <w:br/>
              <w:t>IZVRŠENJE 1.-6. 2024.</w:t>
            </w:r>
          </w:p>
        </w:tc>
        <w:tc>
          <w:tcPr>
            <w:tcW w:w="800" w:type="pct"/>
            <w:vAlign w:val="center"/>
            <w:shd w:val="clear" w:color="auto" w:fill="#bcdffb"/>
          </w:tcPr>
          <w:p>
            <w:pPr>
              <w:spacing w:after="0" w:line="240"/>
              <w:jc w:val="center"/>
            </w:pPr>
            <w:r>
              <w:rPr>
                <w:b/>
                <w:sz w:val="18"/>
                <w:rFonts w:ascii="Times New Roman" w:hAnsi="Times New Roman" w:cs="Times New Roman"/>
              </w:rPr>
              <w:t>INDEKS</w:t>
            </w:r>
          </w:p>
        </w:tc>
      </w:tr>
      <w:tr>
        <w:tc>
          <w:tcPr>
            <w:tcW w:w="2500" w:type="pct"/>
            <w:vAlign w:val="center"/>
            <w:shd w:val="clear" w:color="auto" w:fill="#bcdffb"/>
          </w:tcPr>
          <w:p>
            <w:pPr>
              <w:spacing w:after="0" w:line="240"/>
              <w:jc w:val="center"/>
            </w:pPr>
            <w:r>
              <w:rPr>
                <w:sz w:val="14"/>
                <w:rFonts w:ascii="Times New Roman" w:hAnsi="Times New Roman" w:cs="Times New Roman"/>
              </w:rPr>
              <w:t>1</w:t>
            </w:r>
          </w:p>
        </w:tc>
        <w:tc>
          <w:tcPr>
            <w:tcW w:w="1000" w:type="pct"/>
            <w:vAlign w:val="center"/>
            <w:shd w:val="clear" w:color="auto" w:fill="#bcdffb"/>
          </w:tcPr>
          <w:p>
            <w:pPr>
              <w:spacing w:after="0" w:line="240"/>
              <w:jc w:val="center"/>
            </w:pPr>
            <w:r>
              <w:rPr>
                <w:sz w:val="14"/>
                <w:rFonts w:ascii="Times New Roman" w:hAnsi="Times New Roman" w:cs="Times New Roman"/>
              </w:rPr>
              <w:t>2</w:t>
            </w:r>
          </w:p>
        </w:tc>
        <w:tc>
          <w:tcPr>
            <w:tcW w:w="10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4=3/2</w:t>
            </w:r>
          </w:p>
        </w:tc>
      </w:tr>
      <w:tr>
        <w:tc>
          <w:tcPr>
            <w:tcW w:w="2500" w:type="pct"/>
            <w:vAlign w:val="center"/>
          </w:tcPr>
          <w:p>
            <w:pPr>
              <w:spacing w:after="0" w:line="240"/>
              <w:jc w:val="left"/>
            </w:pPr>
            <w:r>
              <w:rPr>
                <w:sz w:val="18"/>
                <w:rFonts w:ascii="Times New Roman" w:hAnsi="Times New Roman" w:cs="Times New Roman"/>
              </w:rPr>
              <w:t>8 PRIMICI OD FINANCIJSKE IMOVINE I ZADUŽIVANJA</w:t>
            </w:r>
          </w:p>
        </w:tc>
        <w:tc>
          <w:tcPr>
            <w:tcW w:w="1000" w:type="pct"/>
            <w:vAlign w:val="bottom"/>
          </w:tcPr>
          <w:p>
            <w:pPr>
              <w:spacing w:after="0" w:line="240"/>
              <w:jc w:val="right"/>
            </w:pPr>
            <w:r>
              <w:rPr>
                <w:sz w:val="18"/>
                <w:rFonts w:ascii="Times New Roman" w:hAnsi="Times New Roman" w:cs="Times New Roman"/>
              </w:rPr>
              <w:t>62.246.997</w:t>
            </w:r>
          </w:p>
        </w:tc>
        <w:tc>
          <w:tcPr>
            <w:tcW w:w="1000" w:type="pct"/>
            <w:vAlign w:val="bottom"/>
          </w:tcPr>
          <w:p>
            <w:pPr>
              <w:spacing w:after="0" w:line="240"/>
              <w:jc w:val="right"/>
            </w:pPr>
            <w:r>
              <w:rPr>
                <w:sz w:val="18"/>
                <w:rFonts w:ascii="Times New Roman" w:hAnsi="Times New Roman" w:cs="Times New Roman"/>
              </w:rPr>
              <w:t>35.000.000</w:t>
            </w:r>
          </w:p>
        </w:tc>
        <w:tc>
          <w:tcPr>
            <w:tcW w:w="800" w:type="pct"/>
            <w:vAlign w:val="bottom"/>
          </w:tcPr>
          <w:p>
            <w:pPr>
              <w:spacing w:after="0" w:line="240"/>
              <w:jc w:val="right"/>
            </w:pPr>
            <w:r>
              <w:rPr>
                <w:sz w:val="18"/>
                <w:rFonts w:ascii="Times New Roman" w:hAnsi="Times New Roman" w:cs="Times New Roman"/>
              </w:rPr>
              <w:t>56,2</w:t>
            </w:r>
          </w:p>
        </w:tc>
      </w:tr>
      <w:tr>
        <w:tc>
          <w:tcPr>
            <w:tcW w:w="2500" w:type="pct"/>
            <w:vAlign w:val="bottom"/>
          </w:tcPr>
          <w:p>
            <w:pPr>
              <w:spacing w:after="0" w:line="240"/>
              <w:jc w:val="left"/>
            </w:pPr>
            <w:r>
              <w:rPr>
                <w:sz w:val="18"/>
                <w:rFonts w:ascii="Times New Roman" w:hAnsi="Times New Roman" w:cs="Times New Roman"/>
              </w:rPr>
              <w:t>5 IZDACI ZA FINANCIJSKU IMOVINU I OTPLATE ZAJMOVA</w:t>
            </w:r>
          </w:p>
        </w:tc>
        <w:tc>
          <w:tcPr>
            <w:tcW w:w="1000" w:type="pct"/>
            <w:vAlign w:val="bottom"/>
          </w:tcPr>
          <w:p>
            <w:pPr>
              <w:spacing w:after="0" w:line="240"/>
              <w:jc w:val="right"/>
            </w:pPr>
            <w:r>
              <w:rPr>
                <w:sz w:val="18"/>
                <w:rFonts w:ascii="Times New Roman" w:hAnsi="Times New Roman" w:cs="Times New Roman"/>
              </w:rPr>
              <w:t>27.208.176</w:t>
            </w:r>
          </w:p>
        </w:tc>
        <w:tc>
          <w:tcPr>
            <w:tcW w:w="1000" w:type="pct"/>
            <w:vAlign w:val="bottom"/>
          </w:tcPr>
          <w:p>
            <w:pPr>
              <w:spacing w:after="0" w:line="240"/>
              <w:jc w:val="right"/>
            </w:pPr>
            <w:r>
              <w:rPr>
                <w:sz w:val="18"/>
                <w:rFonts w:ascii="Times New Roman" w:hAnsi="Times New Roman" w:cs="Times New Roman"/>
              </w:rPr>
              <w:t>15.099.168</w:t>
            </w:r>
          </w:p>
        </w:tc>
        <w:tc>
          <w:tcPr>
            <w:tcW w:w="800" w:type="pct"/>
            <w:vAlign w:val="bottom"/>
          </w:tcPr>
          <w:p>
            <w:pPr>
              <w:spacing w:after="0" w:line="240"/>
              <w:jc w:val="right"/>
            </w:pPr>
            <w:r>
              <w:rPr>
                <w:sz w:val="18"/>
                <w:rFonts w:ascii="Times New Roman" w:hAnsi="Times New Roman" w:cs="Times New Roman"/>
              </w:rPr>
              <w:t>55,5</w:t>
            </w:r>
          </w:p>
        </w:tc>
      </w:tr>
      <w:tr>
        <w:tc>
          <w:tcPr>
            <w:tcW w:w="2500" w:type="pct"/>
            <w:vAlign w:val="bottom"/>
          </w:tcPr>
          <w:p>
            <w:pPr>
              <w:spacing w:after="0" w:line="240"/>
              <w:jc w:val="left"/>
            </w:pPr>
            <w:r>
              <w:rPr>
                <w:b/>
                <w:sz w:val="18"/>
                <w:rFonts w:ascii="Times New Roman" w:hAnsi="Times New Roman" w:cs="Times New Roman"/>
              </w:rPr>
              <w:t>RAZLIKA PRIMITAKA I IZDATAKA</w:t>
            </w:r>
          </w:p>
        </w:tc>
        <w:tc>
          <w:tcPr>
            <w:tcW w:w="1000" w:type="pct"/>
            <w:vAlign w:val="bottom"/>
          </w:tcPr>
          <w:p>
            <w:pPr>
              <w:spacing w:after="0" w:line="240"/>
              <w:jc w:val="right"/>
            </w:pPr>
            <w:r>
              <w:rPr>
                <w:b/>
                <w:sz w:val="18"/>
                <w:rFonts w:ascii="Times New Roman" w:hAnsi="Times New Roman" w:cs="Times New Roman"/>
              </w:rPr>
              <w:t>35.038.821</w:t>
            </w:r>
          </w:p>
        </w:tc>
        <w:tc>
          <w:tcPr>
            <w:tcW w:w="1000" w:type="pct"/>
            <w:vAlign w:val="bottom"/>
          </w:tcPr>
          <w:p>
            <w:pPr>
              <w:spacing w:after="0" w:line="240"/>
              <w:jc w:val="right"/>
            </w:pPr>
            <w:r>
              <w:rPr>
                <w:b/>
                <w:sz w:val="18"/>
                <w:rFonts w:ascii="Times New Roman" w:hAnsi="Times New Roman" w:cs="Times New Roman"/>
              </w:rPr>
              <w:t>19.900.832</w:t>
            </w:r>
          </w:p>
        </w:tc>
        <w:tc>
          <w:tcPr>
            <w:tcW w:w="800" w:type="pct"/>
            <w:vAlign w:val="bottom"/>
          </w:tcPr>
          <w:p>
            <w:pPr>
              <w:spacing w:after="0" w:line="240"/>
              <w:jc w:val="right"/>
            </w:pPr>
            <w:r>
              <w:rPr>
                <w:b/>
                <w:sz w:val="18"/>
                <w:rFonts w:ascii="Times New Roman" w:hAnsi="Times New Roman" w:cs="Times New Roman"/>
              </w:rPr>
              <w:t>56,8</w:t>
            </w:r>
          </w:p>
        </w:tc>
      </w:tr>
      <w:tr>
        <w:tc>
          <w:tcPr>
            <w:tcW w:w="2500" w:type="pct"/>
            <w:vAlign w:val="bottom"/>
          </w:tcPr>
          <w:p>
            <w:pPr>
              <w:spacing w:after="0" w:line="240"/>
              <w:jc w:val="left"/>
            </w:pPr>
            <w:r>
              <w:rPr>
                <w:sz w:val="18"/>
                <w:rFonts w:ascii="Times New Roman" w:hAnsi="Times New Roman" w:cs="Times New Roman"/>
              </w:rPr>
              <w:t>PRIJENOS SREDSTAVA IZ PRETHODNE GODINE</w:t>
            </w:r>
          </w:p>
        </w:tc>
        <w:tc>
          <w:tcPr>
            <w:tcW w:w="1000" w:type="pct"/>
            <w:vAlign w:val="bottom"/>
          </w:tcPr>
          <w:p>
            <w:pPr>
              <w:spacing w:after="0" w:line="240"/>
              <w:jc w:val="right"/>
            </w:pPr>
            <w:r>
              <w:rPr>
                <w:sz w:val="18"/>
                <w:rFonts w:ascii="Times New Roman" w:hAnsi="Times New Roman" w:cs="Times New Roman"/>
              </w:rPr>
              <w:t>0</w:t>
            </w:r>
          </w:p>
        </w:tc>
        <w:tc>
          <w:tcPr>
            <w:tcW w:w="800" w:type="pct"/>
            <w:vAlign w:val="bottom"/>
          </w:tcPr>
          <w:p>
            <w:pPr>
              <w:spacing w:after="0" w:line="240"/>
              <w:jc w:val="right"/>
            </w:pPr>
            <w:r>
              <w:rPr>
                <w:sz w:val="18"/>
                <w:rFonts w:ascii="Times New Roman" w:hAnsi="Times New Roman" w:cs="Times New Roman"/>
              </w:rPr>
              <w:t>511.966</w:t>
            </w:r>
          </w:p>
        </w:tc>
        <w:tc>
          <w:tcPr>
            <w:tcW w:w="800" w:type="pct"/>
            <w:vAlign w:val="bottom"/>
          </w:tcPr>
          <w:p>
            <w:pPr>
              <w:spacing w:after="0" w:line="240"/>
              <w:jc w:val="right"/>
            </w:pPr>
            <w:r>
              <w:rPr>
                <w:sz w:val="18"/>
                <w:rFonts w:ascii="Times New Roman" w:hAnsi="Times New Roman" w:cs="Times New Roman"/>
              </w:rPr>
              <w:t/>
            </w:r>
          </w:p>
        </w:tc>
      </w:tr>
      <w:tr>
        <w:tc>
          <w:tcPr>
            <w:tcW w:w="2500" w:type="pct"/>
            <w:vAlign w:val="bottom"/>
          </w:tcPr>
          <w:p>
            <w:pPr>
              <w:spacing w:after="0" w:line="240"/>
              <w:jc w:val="left"/>
            </w:pPr>
            <w:r>
              <w:rPr>
                <w:sz w:val="18"/>
                <w:rFonts w:ascii="Times New Roman" w:hAnsi="Times New Roman" w:cs="Times New Roman"/>
              </w:rPr>
              <w:t>PRIJENOS SREDSTAVA U SLJEDEĆE RAZDOBLJE</w:t>
            </w:r>
          </w:p>
        </w:tc>
        <w:tc>
          <w:tcPr>
            <w:tcW w:w="1000" w:type="pct"/>
            <w:vAlign w:val="bottom"/>
          </w:tcPr>
          <w:p>
            <w:pPr>
              <w:spacing w:after="0" w:line="240"/>
              <w:jc w:val="right"/>
            </w:pPr>
            <w:r>
              <w:rPr>
                <w:sz w:val="18"/>
                <w:rFonts w:ascii="Times New Roman" w:hAnsi="Times New Roman" w:cs="Times New Roman"/>
              </w:rPr>
              <w:t>0</w:t>
            </w:r>
          </w:p>
        </w:tc>
        <w:tc>
          <w:tcPr>
            <w:tcW w:w="800" w:type="pct"/>
            <w:vAlign w:val="bottom"/>
          </w:tcPr>
          <w:p>
            <w:pPr>
              <w:spacing w:after="0" w:line="240"/>
              <w:jc w:val="right"/>
            </w:pPr>
            <w:r>
              <w:rPr>
                <w:sz w:val="18"/>
                <w:rFonts w:ascii="Times New Roman" w:hAnsi="Times New Roman" w:cs="Times New Roman"/>
              </w:rPr>
              <w:t>-19.710.936</w:t>
            </w:r>
          </w:p>
        </w:tc>
        <w:tc>
          <w:tcPr>
            <w:tcW w:w="800" w:type="pct"/>
            <w:vAlign w:val="bottom"/>
          </w:tcPr>
          <w:p>
            <w:pPr>
              <w:spacing w:after="0" w:line="240"/>
              <w:jc w:val="right"/>
            </w:pPr>
            <w:r>
              <w:rPr>
                <w:sz w:val="18"/>
                <w:rFonts w:ascii="Times New Roman" w:hAnsi="Times New Roman" w:cs="Times New Roman"/>
              </w:rPr>
              <w:t/>
            </w:r>
          </w:p>
        </w:tc>
      </w:tr>
      <w:tr>
        <w:tc>
          <w:tcPr>
            <w:tcW w:w="2500" w:type="pct"/>
            <w:vAlign w:val="bottom"/>
          </w:tcPr>
          <w:p>
            <w:pPr>
              <w:spacing w:after="0" w:line="240"/>
              <w:jc w:val="left"/>
            </w:pPr>
            <w:r>
              <w:rPr>
                <w:sz w:val="18"/>
                <w:rFonts w:ascii="Times New Roman" w:hAnsi="Times New Roman" w:cs="Times New Roman"/>
              </w:rPr>
              <w:t>NETO FINANCIRANJE</w:t>
            </w:r>
          </w:p>
        </w:tc>
        <w:tc>
          <w:tcPr>
            <w:tcW w:w="1000" w:type="pct"/>
            <w:vAlign w:val="bottom"/>
          </w:tcPr>
          <w:p>
            <w:pPr>
              <w:spacing w:after="0" w:line="240"/>
              <w:jc w:val="right"/>
            </w:pPr>
            <w:r>
              <w:rPr>
                <w:sz w:val="18"/>
                <w:rFonts w:ascii="Times New Roman" w:hAnsi="Times New Roman" w:cs="Times New Roman"/>
              </w:rPr>
              <w:t>35.038.821</w:t>
            </w:r>
          </w:p>
        </w:tc>
        <w:tc>
          <w:tcPr>
            <w:tcW w:w="800" w:type="pct"/>
            <w:vAlign w:val="bottom"/>
          </w:tcPr>
          <w:p>
            <w:pPr>
              <w:spacing w:after="0" w:line="240"/>
              <w:jc w:val="right"/>
            </w:pPr>
            <w:r>
              <w:rPr>
                <w:sz w:val="18"/>
                <w:rFonts w:ascii="Times New Roman" w:hAnsi="Times New Roman" w:cs="Times New Roman"/>
              </w:rPr>
              <w:t>701.863</w:t>
            </w:r>
          </w:p>
        </w:tc>
        <w:tc>
          <w:tcPr>
            <w:tcW w:w="800" w:type="pct"/>
            <w:vAlign w:val="bottom"/>
          </w:tcPr>
          <w:p>
            <w:pPr>
              <w:spacing w:after="0" w:line="240"/>
              <w:jc w:val="right"/>
            </w:pPr>
            <w:r>
              <w:rPr>
                <w:sz w:val="18"/>
                <w:rFonts w:ascii="Times New Roman" w:hAnsi="Times New Roman" w:cs="Times New Roman"/>
              </w:rPr>
              <w:t>2,0</w:t>
            </w:r>
          </w:p>
        </w:tc>
      </w:tr>
      <w:tr>
        <w:tc>
          <w:tcPr>
            <w:tcW w:w="2500" w:type="pct"/>
            <w:vAlign w:val="bottom"/>
          </w:tcPr>
          <w:p>
            <w:pPr>
              <w:spacing w:after="0" w:line="240"/>
              <w:jc w:val="left"/>
            </w:pPr>
            <w:r>
              <w:rPr>
                <w:b/>
                <w:sz w:val="18"/>
                <w:rFonts w:ascii="Times New Roman" w:hAnsi="Times New Roman" w:cs="Times New Roman"/>
              </w:rPr>
              <w:t>VIŠAK/MANJAK + NETO FINANCIRANJE</w:t>
            </w:r>
          </w:p>
        </w:tc>
        <w:tc>
          <w:tcPr>
            <w:tcW w:w="1000" w:type="pct"/>
            <w:vAlign w:val="bottom"/>
          </w:tcPr>
          <w:p>
            <w:pPr>
              <w:spacing w:after="0" w:line="240"/>
              <w:jc w:val="right"/>
            </w:pPr>
            <w:r>
              <w:rPr>
                <w:b/>
                <w:sz w:val="18"/>
                <w:rFonts w:ascii="Times New Roman" w:hAnsi="Times New Roman" w:cs="Times New Roman"/>
              </w:rPr>
              <w:t>0</w:t>
            </w:r>
          </w:p>
        </w:tc>
        <w:tc>
          <w:tcPr>
            <w:tcW w:w="800" w:type="pct"/>
            <w:vAlign w:val="bottom"/>
          </w:tcPr>
          <w:p>
            <w:pPr>
              <w:spacing w:after="0" w:line="240"/>
              <w:jc w:val="right"/>
            </w:pPr>
            <w:r>
              <w:rPr>
                <w:b/>
                <w:sz w:val="18"/>
                <w:rFonts w:ascii="Times New Roman" w:hAnsi="Times New Roman" w:cs="Times New Roman"/>
              </w:rPr>
              <w:t>0</w:t>
            </w:r>
          </w:p>
        </w:tc>
        <w:tc>
          <w:tcPr>
            <w:tcW w:w="800" w:type="pct"/>
            <w:vAlign w:val="bottom"/>
          </w:tcPr>
          <w:p>
            <w:pPr>
              <w:spacing w:after="0" w:line="240"/>
              <w:jc w:val="right"/>
            </w:pPr>
            <w:r>
              <w:rPr>
                <w:b/>
                <w:sz w:val="18"/>
                <w:rFonts w:ascii="Times New Roman" w:hAnsi="Times New Roman" w:cs="Times New Roman"/>
              </w:rPr>
              <w:t/>
            </w:r>
          </w:p>
        </w:tc>
      </w:tr>
    </w:tbl>
    <w:p>
      <w:pPr>
        <w:spacing w:after="0" w:line="240"/>
      </w:pPr>
    </w:p>
    <w:p>
      <w:pPr>
        <w:spacing w:line="240"/>
        <w:jc w:val="both"/>
      </w:pPr>
      <w:r>
        <w:rPr>
          <w:rFonts w:ascii="Times New Roman" w:hAnsi="Times New Roman" w:cs="Times New Roman"/>
          <w:b/>
          <w:color w:val="000000"/>
          <w:sz w:val="24"/>
        </w:rPr>
        <w:t xml:space="preserve">Primici od financijske imovine i zaduživanja</w:t>
      </w:r>
      <w:r>
        <w:rPr>
          <w:rFonts w:ascii="Times New Roman" w:hAnsi="Times New Roman" w:cs="Times New Roman"/>
          <w:color w:val="000000"/>
          <w:sz w:val="24"/>
        </w:rPr>
        <w:t xml:space="preserve"> (šifra 8) ostvareni su iznosom od 35.000.000,00 EUR, 56,23 % u
odnosu na plan, odnosno 40,00 % više u odnosu na isto razdoblje prošle godine,
a odnose se na zaduživanje kod tuzemnih kreditnih institucija izvan javnog
sektora (Zagrebačka baka d.d.) sukladno potrebi osiguranja dodatnog izvora
financiranja za pokriće rashoda sukladno Financijskom planu za 2024. godinu.</w:t>
      </w:r>
    </w:p>
    <w:p>
      <w:pPr>
        <w:spacing w:line="240"/>
        <w:jc w:val="both"/>
      </w:pPr>
      <w:r>
        <w:rPr>
          <w:rFonts w:ascii="Times New Roman" w:hAnsi="Times New Roman" w:cs="Times New Roman"/>
          <w:color w:val="000000"/>
          <w:sz w:val="24"/>
        </w:rPr>
        <w:t xml:space="preserve">Zaduživanje je
provedeno uz suglasnost Vlade Republike Hrvatske.</w:t>
      </w:r>
    </w:p>
    <w:p>
      <w:pPr>
        <w:spacing w:line="240"/>
        <w:jc w:val="both"/>
      </w:pPr>
      <w:r>
        <w:rPr>
          <w:rFonts w:ascii="Times New Roman" w:hAnsi="Times New Roman" w:cs="Times New Roman"/>
          <w:b/>
          <w:color w:val="000000"/>
          <w:sz w:val="24"/>
        </w:rPr>
        <w:t xml:space="preserve">Izdaci za financijsku imovinu i otplate zajmova </w:t>
      </w:r>
      <w:r>
        <w:rPr>
          <w:rFonts w:ascii="Times New Roman" w:hAnsi="Times New Roman" w:cs="Times New Roman"/>
          <w:color w:val="000000"/>
          <w:sz w:val="24"/>
        </w:rPr>
        <w:t xml:space="preserve">(šifra 5) ostvareni su u iznosu od 15.099.167,58 EUR,</w:t>
      </w:r>
      <w:r>
        <w:rPr>
          <w:rFonts w:ascii="Times New Roman" w:hAnsi="Times New Roman" w:cs="Times New Roman"/>
          <w:sz w:val="24"/>
        </w:rPr>
        <w:t xml:space="preserve">55,49 % u odnosu na plan, </w:t>
      </w:r>
      <w:r>
        <w:rPr>
          <w:rFonts w:ascii="Times New Roman" w:hAnsi="Times New Roman" w:cs="Times New Roman"/>
          <w:color w:val="000000"/>
          <w:sz w:val="24"/>
        </w:rPr>
        <w:t xml:space="preserve">odnosno 42,23 % manje u
odnosu na isto razdoblje prošle godine, a odnose se na otplatu glavnice
primljenih kredita i zajmova (šifra 54). Otplata glavnice HBOR kredita u iznosu
1.592.671,72 EUR, otplata glavnice kredita Erste &amp; Steiermarkische bank
d.d. Rijeka u iznosu 6.378.377,89 EUR te otplate glavnice primljenih zajmova od
državnog proračuna (EIB, CEB) u iznosu 7.128.117,97 EUR.</w:t>
      </w:r>
    </w:p>
    <w:p>
      <w:pPr>
        <w:spacing w:line="240"/>
        <w:jc w:val="both"/>
      </w:pPr>
      <w:r>
        <w:rPr>
          <w:rFonts w:ascii="Times New Roman" w:hAnsi="Times New Roman" w:cs="Times New Roman"/>
          <w:color w:val="000000"/>
          <w:sz w:val="24"/>
        </w:rPr>
        <w:t xml:space="preserve">PRIJENOS SREDSTAVA</w:t>
      </w:r>
    </w:p>
    <w:p>
      <w:pPr>
        <w:spacing w:line="240"/>
        <w:jc w:val="both"/>
      </w:pPr>
      <w:r>
        <w:rPr>
          <w:rFonts w:ascii="Times New Roman" w:hAnsi="Times New Roman" w:cs="Times New Roman"/>
          <w:color w:val="000000"/>
          <w:sz w:val="24"/>
        </w:rPr>
        <w:t xml:space="preserve">Hrvatske vode u 2024. godinu raspoređuju iznos od 511.966,06 EUR. Hrvatske vode na dan 30.6.2024. prenose </w:t>
      </w:r>
      <w:r>
        <w:rPr>
          <w:rFonts w:ascii="Times New Roman" w:hAnsi="Times New Roman" w:cs="Times New Roman"/>
          <w:color w:val="000000"/>
          <w:sz w:val="24"/>
        </w:rPr>
        <w:t xml:space="preserve">19.710.935,77 EUR u iduće razdoblje</w:t>
      </w:r>
      <w:r>
        <w:rPr>
          <w:rFonts w:ascii="Times New Roman" w:hAnsi="Times New Roman" w:cs="Times New Roman"/>
          <w:color w:val="000000"/>
          <w:sz w:val="24"/>
        </w:rPr>
        <w:t xml:space="preserve">, a odnose se na vlastita sredstva te će se koristiti za redovnu djelatnost.</w:t>
      </w:r>
    </w:p>
    <w:p>
      <w:pPr>
        <w:spacing w:line="360"/>
        <w:jc w:val="center"/>
      </w:pPr>
      <w:r>
        <w:rPr>
          <w:b/>
          <w:sz w:val="24"/>
          <w:rFonts w:ascii="Times New Roman" w:hAnsi="Times New Roman" w:cs="Times New Roman"/>
        </w:rPr>
        <w:br/>
        <w:t xml:space="preserve">IZVJEŠTAJ O ZADUŽIVANJU NA DOMAĆEM I STRANOM TRŽIŠTU NOVCA I KAPITALA</w:t>
      </w:r>
    </w:p>
    <w:p>
      <w:pPr>
        <w:spacing w:line="240"/>
        <w:jc w:val="both"/>
      </w:pPr>
      <w:r>
        <w:rPr>
          <w:rFonts w:ascii="Times New Roman" w:hAnsi="Times New Roman" w:cs="Times New Roman"/>
          <w:sz w:val="24"/>
        </w:rPr>
        <w:t xml:space="preserve">Zaduživanje na domaćem tržištu kapitala
provedeno je uz suglasnost Vlade Republike Hrvatske kod kreditora Zagrebačka banka d.d. sukladno potrebi osiguranja dodatnog izvora financiranja za
pokriće rashoda predviđenih Financijskim planom za 2024. godinu u iznosu 62.246.997,00 EUR s rokom korištenja do 31.12.2024. godine. Rok otplate kredita
je 8 godina uz poček od 2 godine, u jednakim polugodišnjim ratama uz fiksnu
kamatnu stopu 2,63 % godišnje.</w:t>
      </w:r>
      <w:r>
        <w:rPr>
          <w:rFonts w:ascii="Times New Roman" w:hAnsi="Times New Roman" w:cs="Times New Roman"/>
          <w:sz w:val="24"/>
        </w:rPr>
        <w:br/>
      </w:r>
      <w:r>
        <w:rPr>
          <w:rFonts w:ascii="Times New Roman" w:hAnsi="Times New Roman" w:cs="Times New Roman"/>
          <w:sz w:val="24"/>
        </w:rPr>
        <w:br/>
      </w:r>
    </w:p>
    <w:p>
      <w:pPr>
        <w:spacing w:line="360"/>
        <w:jc w:val="center"/>
      </w:pPr>
      <w:r>
        <w:rPr>
          <w:b/>
          <w:sz w:val="24"/>
          <w:rFonts w:ascii="Times New Roman" w:hAnsi="Times New Roman" w:cs="Times New Roman"/>
        </w:rPr>
        <w:br/>
        <w:t xml:space="preserve">IZVJEŠTAJ O DANIM JAMSTVIMA I PLAĆANJIMA PO PROTESTIRANIM JAMSTVIMA </w:t>
      </w:r>
    </w:p>
    <w:p>
      <w:pPr>
        <w:spacing w:line="240"/>
        <w:jc w:val="both"/>
      </w:pPr>
      <w:r>
        <w:rPr>
          <w:rFonts w:ascii="Times New Roman" w:hAnsi="Times New Roman" w:cs="Times New Roman"/>
          <w:sz w:val="24"/>
        </w:rPr>
        <w:t xml:space="preserve">Hrvatske vode u izvještajnom razdoblju nemaju
dana ni protestirana jamstva.</w:t>
      </w:r>
      <w:r>
        <w:rPr>
          <w:rFonts w:ascii="Times New Roman" w:hAnsi="Times New Roman" w:cs="Times New Roman"/>
          <w:sz w:val="24"/>
        </w:rPr>
        <w:br/>
      </w:r>
    </w:p>
  </w:body>
</w:document>
</file>