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0cd1c07f1744374" /></Relationships>
</file>

<file path=word/document.xml><?xml version="1.0" encoding="utf-8"?>
<w:document xmlns:w="http://schemas.openxmlformats.org/wordprocessingml/2006/main">
  <w:body>
    <w:sectPr>
      <w:pgMar w:top="1417" w:right="1417" w:bottom="1417" w:left="1417"/>
    </w:sectPr>
    <w:p>
      <w:pPr>
        <w:spacing w:line="360"/>
        <w:jc w:val="center"/>
      </w:pPr>
      <w:r>
        <w:rPr>
          <w:b/>
          <w:sz w:val="24"/>
          <w:rFonts w:ascii="Times New Roman" w:hAnsi="Times New Roman" w:cs="Times New Roman"/>
        </w:rPr>
        <w:t xml:space="preserve">OBRAZLOŽENJE IZVRŠENJA FINANCIJSKOG PLANA HRVATSKIH VODA ZA PRVO POLUGODIŠTE 2025. GODINE</w:t>
      </w:r>
    </w:p>
    <w:p>
      <w:pPr>
        <w:spacing w:line="360"/>
        <w:jc w:val="left"/>
      </w:pPr>
      <w:r>
        <w:rPr>
          <w:b/>
          <w:u w:val="single"/>
          <w:sz w:val="24"/>
          <w:rFonts w:ascii="Times New Roman" w:hAnsi="Times New Roman" w:cs="Times New Roman"/>
        </w:rPr>
        <w:br/>
        <w:t xml:space="preserve">UVOD</w:t>
      </w:r>
    </w:p>
    <w:p>
      <w:pPr>
        <w:spacing w:line="240"/>
        <w:jc w:val="both"/>
      </w:pPr>
      <w:r>
        <w:rPr>
          <w:rFonts w:ascii="Times New Roman" w:hAnsi="Times New Roman" w:cs="Times New Roman"/>
          <w:sz w:val="24"/>
        </w:rPr>
        <w:t xml:space="preserve">U razdoblju siječanj - lipanj 2025. godine ukupni prihodi ostvareni su
iznosom od  316.725.085,92 EUR od čega su
prihodi poslovanja (šifra 6) ostvareni u iznosu od 316.721.748,86 EUR odnosno
99,99% ukupnih prihoda, a prihodi od prodaje nefinancijske imovine (šifra 7)
iznosom od 3.337,06 EUR.  </w:t>
      </w:r>
      <w:r>
        <w:rPr>
          <w:rFonts w:ascii="Times New Roman" w:hAnsi="Times New Roman" w:cs="Times New Roman"/>
          <w:sz w:val="24"/>
        </w:rPr>
        <w:br/>
      </w:r>
    </w:p>
    <w:p>
      <w:pPr>
        <w:spacing w:line="360"/>
        <w:jc w:val="left"/>
      </w:pPr>
      <w:r>
        <w:rPr>
          <w:b/>
          <w:u w:val="single"/>
          <w:sz w:val="24"/>
          <w:rFonts w:ascii="Times New Roman" w:hAnsi="Times New Roman" w:cs="Times New Roman"/>
        </w:rPr>
        <w:br/>
        <w:t xml:space="preserve">PRIHODI</w:t>
      </w:r>
    </w:p>
    <w:tbl>
      <w:tblPr>
        <w:tblW w:w="4850" w:type="pct"/>
        <w:tblBorders>
          <w:top w:val="single" w:sz="5"/>
          <w:bottom w:val="single" w:sz="5"/>
          <w:left w:val="single" w:sz="5"/>
          <w:right w:val="single" w:sz="5"/>
          <w:insideH w:val="single" w:sz="5"/>
          <w:insideV w:val="single" w:sz="5"/>
        </w:tblBorders>
        <w:tblCellMar>
          <w:top w:w="0" w:type="dxa"/>
          <w:start w:w="100" w:type="dxa"/>
          <w:bottom w:w="0" w:type="dxa"/>
          <w:end w:w="100" w:type="dxa"/>
        </w:tblCellMar>
      </w:tblPr>
      <w:tr>
        <w:tc>
          <w:tcPr>
            <w:tcW w:w="1400" w:type="pct"/>
            <w:vAlign w:val="center"/>
            <w:shd w:val="clear" w:color="auto" w:fill="#bcdffb"/>
          </w:tcPr>
          <w:p>
            <w:pPr>
              <w:spacing w:after="0" w:line="240"/>
              <w:jc w:val="center"/>
            </w:pPr>
            <w:r>
              <w:rPr>
                <w:b/>
                <w:sz w:val="18"/>
                <w:rFonts w:ascii="Times New Roman" w:hAnsi="Times New Roman" w:cs="Times New Roman"/>
              </w:rPr>
              <w:t>BROJČANA OZNAKA I NAZIV</w:t>
            </w:r>
          </w:p>
        </w:tc>
        <w:tc>
          <w:tcPr>
            <w:tcW w:w="800" w:type="pct"/>
            <w:vAlign w:val="center"/>
            <w:shd w:val="clear" w:color="auto" w:fill="#bcdffb"/>
          </w:tcPr>
          <w:p>
            <w:pPr>
              <w:spacing w:after="0" w:line="240"/>
              <w:jc w:val="center"/>
            </w:pPr>
            <w:r>
              <w:rPr>
                <w:b/>
                <w:sz w:val="18"/>
                <w:rFonts w:ascii="Times New Roman" w:hAnsi="Times New Roman" w:cs="Times New Roman"/>
              </w:rPr>
              <w:t>OSTVARENJE</w:t>
              <w:br/>
              <w:t>1.-6. 2024.</w:t>
            </w:r>
          </w:p>
        </w:tc>
        <w:tc>
          <w:tcPr>
            <w:tcW w:w="800" w:type="pct"/>
            <w:vAlign w:val="center"/>
            <w:shd w:val="clear" w:color="auto" w:fill="#bcdffb"/>
          </w:tcPr>
          <w:p>
            <w:pPr>
              <w:spacing w:after="0" w:line="240"/>
              <w:jc w:val="center"/>
            </w:pPr>
            <w:r>
              <w:rPr>
                <w:b/>
                <w:sz w:val="18"/>
                <w:rFonts w:ascii="Times New Roman" w:hAnsi="Times New Roman" w:cs="Times New Roman"/>
              </w:rPr>
              <w:t>PLAN</w:t>
              <w:br/>
              <w:t>2025.</w:t>
            </w:r>
          </w:p>
        </w:tc>
        <w:tc>
          <w:tcPr>
            <w:tcW w:w="800" w:type="pct"/>
            <w:vAlign w:val="center"/>
            <w:shd w:val="clear" w:color="auto" w:fill="#bcdffb"/>
          </w:tcPr>
          <w:p>
            <w:pPr>
              <w:spacing w:after="0" w:line="240"/>
              <w:jc w:val="center"/>
            </w:pPr>
            <w:r>
              <w:rPr>
                <w:b/>
                <w:sz w:val="18"/>
                <w:rFonts w:ascii="Times New Roman" w:hAnsi="Times New Roman" w:cs="Times New Roman"/>
              </w:rPr>
              <w:t>OSTVARENJE</w:t>
              <w:br/>
              <w:t>1.-6. 2025.</w:t>
            </w:r>
          </w:p>
        </w:tc>
        <w:tc>
          <w:tcPr>
            <w:tcW w:w="500" w:type="pct"/>
            <w:vAlign w:val="center"/>
            <w:shd w:val="clear" w:color="auto" w:fill="#bcdffb"/>
          </w:tcPr>
          <w:p>
            <w:pPr>
              <w:spacing w:after="0" w:line="240"/>
              <w:jc w:val="center"/>
            </w:pPr>
            <w:r>
              <w:rPr>
                <w:b/>
                <w:sz w:val="18"/>
                <w:rFonts w:ascii="Times New Roman" w:hAnsi="Times New Roman" w:cs="Times New Roman"/>
              </w:rPr>
              <w:t>INDEKS</w:t>
            </w:r>
          </w:p>
        </w:tc>
        <w:tc>
          <w:tcPr>
            <w:tcW w:w="500" w:type="pct"/>
            <w:vAlign w:val="center"/>
            <w:shd w:val="clear" w:color="auto" w:fill="#bcdffb"/>
          </w:tcPr>
          <w:p>
            <w:pPr>
              <w:spacing w:after="0" w:line="240"/>
              <w:jc w:val="center"/>
            </w:pPr>
            <w:r>
              <w:rPr>
                <w:b/>
                <w:sz w:val="18"/>
                <w:rFonts w:ascii="Times New Roman" w:hAnsi="Times New Roman" w:cs="Times New Roman"/>
              </w:rPr>
              <w:t>INDEKS</w:t>
            </w:r>
          </w:p>
        </w:tc>
      </w:tr>
      <w:tr>
        <w:tc>
          <w:tcPr>
            <w:tcW w:w="1400" w:type="pct"/>
            <w:vAlign w:val="center"/>
            <w:shd w:val="clear" w:color="auto" w:fill="#bcdffb"/>
          </w:tcPr>
          <w:p>
            <w:pPr>
              <w:spacing w:after="0" w:line="240"/>
              <w:jc w:val="center"/>
            </w:pPr>
            <w:r>
              <w:rPr>
                <w:sz w:val="14"/>
                <w:rFonts w:ascii="Times New Roman" w:hAnsi="Times New Roman" w:cs="Times New Roman"/>
              </w:rPr>
              <w:t>1</w:t>
            </w:r>
          </w:p>
        </w:tc>
        <w:tc>
          <w:tcPr>
            <w:tcW w:w="800" w:type="pct"/>
            <w:vAlign w:val="center"/>
            <w:shd w:val="clear" w:color="auto" w:fill="#bcdffb"/>
          </w:tcPr>
          <w:p>
            <w:pPr>
              <w:spacing w:after="0" w:line="240"/>
              <w:jc w:val="center"/>
            </w:pPr>
            <w:r>
              <w:rPr>
                <w:sz w:val="14"/>
                <w:rFonts w:ascii="Times New Roman" w:hAnsi="Times New Roman" w:cs="Times New Roman"/>
              </w:rPr>
              <w:t>2</w:t>
            </w:r>
          </w:p>
        </w:tc>
        <w:tc>
          <w:tcPr>
            <w:tcW w:w="800" w:type="pct"/>
            <w:vAlign w:val="center"/>
            <w:shd w:val="clear" w:color="auto" w:fill="#bcdffb"/>
          </w:tcPr>
          <w:p>
            <w:pPr>
              <w:spacing w:after="0" w:line="240"/>
              <w:jc w:val="center"/>
            </w:pPr>
            <w:r>
              <w:rPr>
                <w:sz w:val="14"/>
                <w:rFonts w:ascii="Times New Roman" w:hAnsi="Times New Roman" w:cs="Times New Roman"/>
              </w:rPr>
              <w:t>3</w:t>
            </w:r>
          </w:p>
        </w:tc>
        <w:tc>
          <w:tcPr>
            <w:tcW w:w="800" w:type="pct"/>
            <w:vAlign w:val="center"/>
            <w:shd w:val="clear" w:color="auto" w:fill="#bcdffb"/>
          </w:tcPr>
          <w:p>
            <w:pPr>
              <w:spacing w:after="0" w:line="240"/>
              <w:jc w:val="center"/>
            </w:pPr>
            <w:r>
              <w:rPr>
                <w:sz w:val="14"/>
                <w:rFonts w:ascii="Times New Roman" w:hAnsi="Times New Roman" w:cs="Times New Roman"/>
              </w:rPr>
              <w:t>4</w:t>
            </w:r>
          </w:p>
        </w:tc>
        <w:tc>
          <w:tcPr>
            <w:tcW w:w="500" w:type="pct"/>
            <w:vAlign w:val="center"/>
            <w:shd w:val="clear" w:color="auto" w:fill="#bcdffb"/>
          </w:tcPr>
          <w:p>
            <w:pPr>
              <w:spacing w:after="0" w:line="240"/>
              <w:jc w:val="center"/>
            </w:pPr>
            <w:r>
              <w:rPr>
                <w:sz w:val="14"/>
                <w:rFonts w:ascii="Times New Roman" w:hAnsi="Times New Roman" w:cs="Times New Roman"/>
              </w:rPr>
              <w:t>5=4/2</w:t>
            </w:r>
          </w:p>
        </w:tc>
        <w:tc>
          <w:tcPr>
            <w:tcW w:w="500" w:type="pct"/>
            <w:vAlign w:val="center"/>
            <w:shd w:val="clear" w:color="auto" w:fill="#bcdffb"/>
          </w:tcPr>
          <w:p>
            <w:pPr>
              <w:spacing w:after="0" w:line="240"/>
              <w:jc w:val="center"/>
            </w:pPr>
            <w:r>
              <w:rPr>
                <w:sz w:val="14"/>
                <w:rFonts w:ascii="Times New Roman" w:hAnsi="Times New Roman" w:cs="Times New Roman"/>
              </w:rPr>
              <w:t>6=4/3</w:t>
            </w:r>
          </w:p>
        </w:tc>
      </w:tr>
      <w:tr>
        <w:tc>
          <w:tcPr>
            <w:tcW w:w="1400" w:type="pct"/>
            <w:vAlign w:val="bottom"/>
          </w:tcPr>
          <w:p>
            <w:pPr>
              <w:spacing w:after="0" w:line="240"/>
              <w:jc w:val="left"/>
            </w:pPr>
            <w:r>
              <w:rPr>
                <w:sz w:val="18"/>
                <w:rFonts w:ascii="Times New Roman" w:hAnsi="Times New Roman" w:cs="Times New Roman"/>
              </w:rPr>
              <w:t>6 PRIHODI POSLOVANJA</w:t>
            </w:r>
          </w:p>
        </w:tc>
        <w:tc>
          <w:tcPr>
            <w:tcW w:w="800" w:type="pct"/>
            <w:vAlign w:val="bottom"/>
          </w:tcPr>
          <w:p>
            <w:pPr>
              <w:spacing w:after="0" w:line="240"/>
              <w:jc w:val="right"/>
            </w:pPr>
            <w:r>
              <w:rPr>
                <w:sz w:val="18"/>
                <w:rFonts w:ascii="Times New Roman" w:hAnsi="Times New Roman" w:cs="Times New Roman"/>
              </w:rPr>
              <w:t>262.965.859</w:t>
            </w:r>
          </w:p>
        </w:tc>
        <w:tc>
          <w:tcPr>
            <w:tcW w:w="800" w:type="pct"/>
            <w:vAlign w:val="bottom"/>
          </w:tcPr>
          <w:p>
            <w:pPr>
              <w:spacing w:after="0" w:line="240"/>
              <w:jc w:val="right"/>
            </w:pPr>
            <w:r>
              <w:rPr>
                <w:sz w:val="18"/>
                <w:rFonts w:ascii="Times New Roman" w:hAnsi="Times New Roman" w:cs="Times New Roman"/>
              </w:rPr>
              <w:t>990.766.992</w:t>
            </w:r>
          </w:p>
        </w:tc>
        <w:tc>
          <w:tcPr>
            <w:tcW w:w="800" w:type="pct"/>
            <w:vAlign w:val="bottom"/>
          </w:tcPr>
          <w:p>
            <w:pPr>
              <w:spacing w:after="0" w:line="240"/>
              <w:jc w:val="right"/>
            </w:pPr>
            <w:r>
              <w:rPr>
                <w:sz w:val="18"/>
                <w:rFonts w:ascii="Times New Roman" w:hAnsi="Times New Roman" w:cs="Times New Roman"/>
              </w:rPr>
              <w:t>316.721.749</w:t>
            </w:r>
          </w:p>
        </w:tc>
        <w:tc>
          <w:tcPr>
            <w:tcW w:w="500" w:type="pct"/>
            <w:vAlign w:val="bottom"/>
          </w:tcPr>
          <w:p>
            <w:pPr>
              <w:spacing w:after="0" w:line="240"/>
              <w:jc w:val="right"/>
            </w:pPr>
            <w:r>
              <w:rPr>
                <w:sz w:val="18"/>
                <w:rFonts w:ascii="Times New Roman" w:hAnsi="Times New Roman" w:cs="Times New Roman"/>
              </w:rPr>
              <w:t>120,4</w:t>
            </w:r>
          </w:p>
        </w:tc>
        <w:tc>
          <w:tcPr>
            <w:tcW w:w="500" w:type="pct"/>
            <w:vAlign w:val="bottom"/>
          </w:tcPr>
          <w:p>
            <w:pPr>
              <w:spacing w:after="0" w:line="240"/>
              <w:jc w:val="right"/>
            </w:pPr>
            <w:r>
              <w:rPr>
                <w:sz w:val="18"/>
                <w:rFonts w:ascii="Times New Roman" w:hAnsi="Times New Roman" w:cs="Times New Roman"/>
              </w:rPr>
              <w:t>32,0</w:t>
            </w:r>
          </w:p>
        </w:tc>
      </w:tr>
      <w:tr>
        <w:tc>
          <w:tcPr>
            <w:tcW w:w="1400" w:type="pct"/>
            <w:vAlign w:val="bottom"/>
          </w:tcPr>
          <w:p>
            <w:pPr>
              <w:spacing w:after="0" w:line="240"/>
              <w:jc w:val="left"/>
            </w:pPr>
            <w:r>
              <w:rPr>
                <w:sz w:val="18"/>
                <w:rFonts w:ascii="Times New Roman" w:hAnsi="Times New Roman" w:cs="Times New Roman"/>
              </w:rPr>
              <w:t>7 PRIHODI OD PRODAJE NEFINANCIJSKE IMOVINE</w:t>
            </w:r>
          </w:p>
        </w:tc>
        <w:tc>
          <w:tcPr>
            <w:tcW w:w="800" w:type="pct"/>
            <w:vAlign w:val="bottom"/>
          </w:tcPr>
          <w:p>
            <w:pPr>
              <w:spacing w:after="0" w:line="240"/>
              <w:jc w:val="right"/>
            </w:pPr>
            <w:r>
              <w:rPr>
                <w:sz w:val="18"/>
                <w:rFonts w:ascii="Times New Roman" w:hAnsi="Times New Roman" w:cs="Times New Roman"/>
              </w:rPr>
              <w:t>7.626</w:t>
            </w:r>
          </w:p>
        </w:tc>
        <w:tc>
          <w:tcPr>
            <w:tcW w:w="800" w:type="pct"/>
            <w:vAlign w:val="bottom"/>
          </w:tcPr>
          <w:p>
            <w:pPr>
              <w:spacing w:after="0" w:line="240"/>
              <w:jc w:val="right"/>
            </w:pPr>
            <w:r>
              <w:rPr>
                <w:sz w:val="18"/>
                <w:rFonts w:ascii="Times New Roman" w:hAnsi="Times New Roman" w:cs="Times New Roman"/>
              </w:rPr>
              <w:t>1.040.873</w:t>
            </w:r>
          </w:p>
        </w:tc>
        <w:tc>
          <w:tcPr>
            <w:tcW w:w="800" w:type="pct"/>
            <w:vAlign w:val="bottom"/>
          </w:tcPr>
          <w:p>
            <w:pPr>
              <w:spacing w:after="0" w:line="240"/>
              <w:jc w:val="right"/>
            </w:pPr>
            <w:r>
              <w:rPr>
                <w:sz w:val="18"/>
                <w:rFonts w:ascii="Times New Roman" w:hAnsi="Times New Roman" w:cs="Times New Roman"/>
              </w:rPr>
              <w:t>3.337</w:t>
            </w:r>
          </w:p>
        </w:tc>
        <w:tc>
          <w:tcPr>
            <w:tcW w:w="500" w:type="pct"/>
            <w:vAlign w:val="bottom"/>
          </w:tcPr>
          <w:p>
            <w:pPr>
              <w:spacing w:after="0" w:line="240"/>
              <w:jc w:val="right"/>
            </w:pPr>
            <w:r>
              <w:rPr>
                <w:sz w:val="18"/>
                <w:rFonts w:ascii="Times New Roman" w:hAnsi="Times New Roman" w:cs="Times New Roman"/>
              </w:rPr>
              <w:t>43,8</w:t>
            </w:r>
          </w:p>
        </w:tc>
        <w:tc>
          <w:tcPr>
            <w:tcW w:w="500" w:type="pct"/>
            <w:vAlign w:val="bottom"/>
          </w:tcPr>
          <w:p>
            <w:pPr>
              <w:spacing w:after="0" w:line="240"/>
              <w:jc w:val="right"/>
            </w:pPr>
            <w:r>
              <w:rPr>
                <w:sz w:val="18"/>
                <w:rFonts w:ascii="Times New Roman" w:hAnsi="Times New Roman" w:cs="Times New Roman"/>
              </w:rPr>
              <w:t>0,3</w:t>
            </w:r>
          </w:p>
        </w:tc>
      </w:tr>
      <w:tr>
        <w:tc>
          <w:tcPr>
            <w:tcW w:w="1400" w:type="pct"/>
            <w:vAlign w:val="bottom"/>
          </w:tcPr>
          <w:p>
            <w:pPr>
              <w:spacing w:after="0" w:line="240"/>
              <w:jc w:val="left"/>
            </w:pPr>
            <w:r>
              <w:rPr>
                <w:b/>
                <w:sz w:val="18"/>
                <w:rFonts w:ascii="Times New Roman" w:hAnsi="Times New Roman" w:cs="Times New Roman"/>
              </w:rPr>
              <w:t>UKUPNI PRIHODI</w:t>
            </w:r>
          </w:p>
        </w:tc>
        <w:tc>
          <w:tcPr>
            <w:tcW w:w="800" w:type="pct"/>
            <w:vAlign w:val="bottom"/>
          </w:tcPr>
          <w:p>
            <w:pPr>
              <w:spacing w:after="0" w:line="240"/>
              <w:jc w:val="right"/>
            </w:pPr>
            <w:r>
              <w:rPr>
                <w:b/>
                <w:sz w:val="18"/>
                <w:rFonts w:ascii="Times New Roman" w:hAnsi="Times New Roman" w:cs="Times New Roman"/>
              </w:rPr>
              <w:t>262.973.485</w:t>
            </w:r>
          </w:p>
        </w:tc>
        <w:tc>
          <w:tcPr>
            <w:tcW w:w="800" w:type="pct"/>
            <w:vAlign w:val="bottom"/>
          </w:tcPr>
          <w:p>
            <w:pPr>
              <w:spacing w:after="0" w:line="240"/>
              <w:jc w:val="right"/>
            </w:pPr>
            <w:r>
              <w:rPr>
                <w:b/>
                <w:sz w:val="18"/>
                <w:rFonts w:ascii="Times New Roman" w:hAnsi="Times New Roman" w:cs="Times New Roman"/>
              </w:rPr>
              <w:t>991.807.865</w:t>
            </w:r>
          </w:p>
        </w:tc>
        <w:tc>
          <w:tcPr>
            <w:tcW w:w="800" w:type="pct"/>
            <w:vAlign w:val="bottom"/>
          </w:tcPr>
          <w:p>
            <w:pPr>
              <w:spacing w:after="0" w:line="240"/>
              <w:jc w:val="right"/>
            </w:pPr>
            <w:r>
              <w:rPr>
                <w:b/>
                <w:sz w:val="18"/>
                <w:rFonts w:ascii="Times New Roman" w:hAnsi="Times New Roman" w:cs="Times New Roman"/>
              </w:rPr>
              <w:t>316.725.086</w:t>
            </w:r>
          </w:p>
        </w:tc>
        <w:tc>
          <w:tcPr>
            <w:tcW w:w="500" w:type="pct"/>
            <w:vAlign w:val="bottom"/>
          </w:tcPr>
          <w:p>
            <w:pPr>
              <w:spacing w:after="0" w:line="240"/>
              <w:jc w:val="right"/>
            </w:pPr>
            <w:r>
              <w:rPr>
                <w:b/>
                <w:sz w:val="18"/>
                <w:rFonts w:ascii="Times New Roman" w:hAnsi="Times New Roman" w:cs="Times New Roman"/>
              </w:rPr>
              <w:t>120,4</w:t>
            </w:r>
          </w:p>
        </w:tc>
        <w:tc>
          <w:tcPr>
            <w:tcW w:w="500" w:type="pct"/>
            <w:vAlign w:val="bottom"/>
          </w:tcPr>
          <w:p>
            <w:pPr>
              <w:spacing w:after="0" w:line="240"/>
              <w:jc w:val="right"/>
            </w:pPr>
            <w:r>
              <w:rPr>
                <w:b/>
                <w:sz w:val="18"/>
                <w:rFonts w:ascii="Times New Roman" w:hAnsi="Times New Roman" w:cs="Times New Roman"/>
              </w:rPr>
              <w:t>31,9</w:t>
            </w:r>
          </w:p>
        </w:tc>
      </w:tr>
    </w:tbl>
    <w:p>
      <w:pPr>
        <w:spacing w:after="0" w:line="240"/>
      </w:pPr>
    </w:p>
    <w:p>
      <w:pPr>
        <w:spacing w:line="240"/>
        <w:jc w:val="both"/>
      </w:pPr>
      <w:r>
        <w:rPr>
          <w:rFonts w:ascii="Times New Roman" w:hAnsi="Times New Roman" w:cs="Times New Roman"/>
          <w:sz w:val="24"/>
        </w:rPr>
        <w:t xml:space="preserve">U strukturi ukupnih prihoda, prihodi po posebnim propisima – prihodi od vodnog gospodarstva čine udio od 36,53%, prihodi od kapitalnih i tekućih pomoći iz Državnog proračuna, te tekućih i kapitalnih pomoći temeljem prijenosa EU sredstava - Državni proračun 56,70%, a svi ostali 6,77%. </w:t>
      </w:r>
      <w:r>
        <w:rPr>
          <w:rFonts w:ascii="Times New Roman" w:hAnsi="Times New Roman" w:cs="Times New Roman"/>
          <w:sz w:val="24"/>
        </w:rPr>
        <w:t xml:space="preserve">Ukupni prihodi u prvom polugodištu 2025. godine iznose 316.725.085,92 EUR, veći su za 53.751.600,63 EUR, 20,44% više nego u istom razdoblju prošle godine kada su iznosili 262.973.485,29 EUR. Izvršenje prihoda u odnosu na plan 2025. godine iznosi 31,93%, manje nego izvršenje prihoda u istom razdoblju prošle godine kada je iznosilo 33,15% u odnosu na plan. Razlika pada je u sklopu prihoda po posebnim propisima – prihoda vodnog gospodarstva 12.363.874,78 EUR manje, skoro 10% u odnosu na prošlu godinu. Razlog smanjenja visine vodnih naknada su definirani Uredbom o izmjenama i dopuni Uredbe o visini naknade za zaštitu voda (NN 33/2024), stupila na snagu 1. srpnja 2024., Uredbom o izmjeni Uredbe o izmjenama Uredbe o visini naknade za korištenje voda (NN 33/2024), stupila na snagu 1. srpnja 2024., Zakonom o izmjenama i dopuni Zakona o financiranju vodnoga gospodarstva (NN 36/2024) čime se ukida naknada vodnog doprinosa, stupio na snagu 1. srpnja 2024. godine.</w:t>
      </w:r>
    </w:p>
    <w:p>
      <w:pPr>
        <w:spacing w:line="240"/>
        <w:jc w:val="both"/>
      </w:pPr>
      <w:r>
        <w:rPr>
          <w:rFonts w:ascii="Times New Roman" w:hAnsi="Times New Roman" w:cs="Times New Roman"/>
          <w:b/>
          <w:sz w:val="24"/>
        </w:rPr>
        <w:t xml:space="preserve">Prihodi poslovanja (šifra 6)</w:t>
      </w:r>
      <w:r>
        <w:rPr>
          <w:rFonts w:ascii="Times New Roman" w:hAnsi="Times New Roman" w:cs="Times New Roman"/>
          <w:sz w:val="24"/>
        </w:rPr>
        <w:t xml:space="preserve"> ostvareni su u ukupnom iznosu
316.721.748,86 EUR, 20,44% više nego prošle godine u istom razdoblju,
prvenstveno u dijelu kapitalnih pomoći temeljem prijenosa EU sredstava i
kapitalnih donacija (vlastito učešće jedinica lokalne samouprave/ javnih isporučitelja
vodnih usluga), zbog povećane realizacije na kapitalnim aktivnostima
sufinanciranim bespovratnim sredstvima iz EU fondova.</w:t>
      </w:r>
    </w:p>
    <w:p>
      <w:pPr>
        <w:spacing w:line="240"/>
        <w:jc w:val="both"/>
      </w:pPr>
      <w:r>
        <w:rPr>
          <w:rFonts w:ascii="Times New Roman" w:hAnsi="Times New Roman" w:cs="Times New Roman"/>
          <w:b/>
          <w:sz w:val="24"/>
        </w:rPr>
        <w:t xml:space="preserve">Pomoći
iz inozemstva i od subjekata unutar općeg proračuna (šifra 63)</w:t>
      </w:r>
      <w:r>
        <w:rPr>
          <w:rFonts w:ascii="Times New Roman" w:hAnsi="Times New Roman" w:cs="Times New Roman"/>
          <w:sz w:val="24"/>
        </w:rPr>
        <w:t xml:space="preserve">ostvareni su u ukupnom iznosu od 182.010.466,51 EUR, 41,08% više u odnosu na
isto razdoblje prošle godine i odnose se na:</w:t>
      </w:r>
    </w:p>
    <w:p>
      <w:pPr>
        <w:spacing w:line="240"/>
        <w:jc w:val="both"/>
      </w:pPr>
      <w:r>
        <w:rPr>
          <w:rFonts w:ascii="Times New Roman" w:hAnsi="Times New Roman" w:cs="Times New Roman"/>
          <w:sz w:val="24"/>
        </w:rPr>
        <w:t xml:space="preserve">Pomoći od međunarodnih organizacija te institucija i tijela EU (šifra 632) ostvarene su iznosom od 209.003,90 EUR, a odnose se na Interreg programe prekogranične suradnje (Danube Sediment, Danube Water Balance, Retfor i Tethys).</w:t>
      </w:r>
    </w:p>
    <w:p>
      <w:pPr>
        <w:spacing w:line="240"/>
        <w:jc w:val="both"/>
      </w:pPr>
      <w:r>
        <w:rPr>
          <w:rFonts w:ascii="Times New Roman" w:hAnsi="Times New Roman" w:cs="Times New Roman"/>
          <w:sz w:val="24"/>
        </w:rPr>
        <w:t xml:space="preserve">Pomoći proračunu iz drugih proračuna (šifra 633) ostvarene
su iznosom od 36.892.195,05 EUR, 39,07% manje u odnosu na isto razdoblje prošle
godine. Sastoje se od kapitalnih pomoći iz Državnog proračuna – 34.667.284,56
EUR povučenih s razdjela Ministarstva zaštite okoliša i zelene tranzicije kroz
učešće državnog proračuna (NPOO projekti 3.862.603,80 EUR,  projekti vodnokomunalne infrastrukture
27.973.363,25 EUR, VFO projekti 
2.351.160,29 EUR, projekti sanacije klizišta 116.017,85 EUR, projekti
zaštite voda 125.869,37 EUR i projekti navodnjavanja 238.270,00 EUR), i iz
kapitalnih pomoći proračunu iz proračuna lokalne i regionalne samouprave
2.224.910,49 EUR, a odnose se na učešće u sufinanciranju EU projekata – lokalna
komponenta.</w:t>
      </w:r>
    </w:p>
    <w:p>
      <w:pPr>
        <w:spacing w:line="240"/>
        <w:jc w:val="both"/>
      </w:pPr>
      <w:r>
        <w:rPr>
          <w:rFonts w:ascii="Times New Roman" w:hAnsi="Times New Roman" w:cs="Times New Roman"/>
          <w:sz w:val="24"/>
        </w:rPr>
        <w:t xml:space="preserve">Pomoći temeljem prijenosa EU sredstava (šifra 638)
ostvarene su iznosom od 144.909.267,56 EUR, 111,66% više u odnosu na isto
razdoblje prošle godine.  Tekuće pomoći
temeljem prijenosa EU sredstava iznose 268.871,29 EUR, manje u odnosu na isto
razdoblje prošle godine, a odnose se na Mehanizam za oporavak i otpornost NPOO
– za projekte obrane od poplava s razdjela Ministarstva zaštite okoliša i
zelene tranzicije u iznosu 240.723,99 EUR i tehničku pomoć s razdjela
Ministarstva regionalnog razvoja i fondova EU u iznosu 28.147,30 EUR.  Kapitalne pomoći temeljem prijenosa EU
sredstava u ukupnom iznosu od 144.640.396,27 EUR, 124,43% više nego u istom
razdoblju prošle godine, sastoje se od bespovratnih EU sredstava putem državnog
proračuna sa razdjela Ministarstva zaštite okoliša i zelene tranzicije i to: za
projekte NPOO – vodnokomunalne infrastrukture (94.515.647,52 EUR), projekte
NPOO – obrane od poplava (15.409.634,14 EUR) i projekte VFO – vodnokomunalne
infrastrukture (34.715.114,61 EUR).</w:t>
      </w:r>
    </w:p>
    <w:p>
      <w:pPr>
        <w:spacing w:line="240"/>
        <w:jc w:val="both"/>
      </w:pPr>
      <w:r>
        <w:rPr>
          <w:rFonts w:ascii="Times New Roman" w:hAnsi="Times New Roman" w:cs="Times New Roman"/>
          <w:b/>
          <w:sz w:val="24"/>
        </w:rPr>
        <w:t xml:space="preserve">Prihodi od imovine (šifra 64)</w:t>
      </w:r>
      <w:r>
        <w:rPr>
          <w:rFonts w:ascii="Times New Roman" w:hAnsi="Times New Roman" w:cs="Times New Roman"/>
          <w:sz w:val="24"/>
        </w:rPr>
        <w:t xml:space="preserve"> ostvareni su u ukupnom iznosu 331.183,86
EUR, 6,60% više u odnosu na isto razdoblje prošle godine. Prihodi od
financijske imovine (šifra 641) u iznosu 87.940,70 EUR, manje u odnosu na isto
razdoblje prošle godine. Sastoje se od kamata na oročena sredstva, prihoda od zateznih
kamata s osnove vodnih naknada i ostalih prihoda (kamata na obročnu otplatu
vodnog doprinosa). Prihodi od nefinancijske imovine (šifra 642) u iznosu
243.243,16 EUR, 70,44% više u odnosu na isto razdoblje prošle godine. Sastoje
se od prihoda od zakupa i najma vodnog dobra, te prihoda od iznajmljivanja
stambenih i poslovnih prostora.</w:t>
      </w:r>
    </w:p>
    <w:p>
      <w:pPr>
        <w:spacing w:line="240"/>
        <w:jc w:val="both"/>
      </w:pPr>
      <w:r>
        <w:rPr>
          <w:rFonts w:ascii="Times New Roman" w:hAnsi="Times New Roman" w:cs="Times New Roman"/>
          <w:b/>
          <w:sz w:val="24"/>
        </w:rPr>
        <w:t xml:space="preserve">Prihodi od upravnih i administrativnih pristojbi, pristojbi
po posebnim propisima i naknada (šifra 65) </w:t>
      </w:r>
      <w:r>
        <w:rPr>
          <w:rFonts w:ascii="Times New Roman" w:hAnsi="Times New Roman" w:cs="Times New Roman"/>
          <w:sz w:val="24"/>
        </w:rPr>
        <w:t xml:space="preserve">ostvareni su u ukupnom iznosu od
116.962.457,60 EUR, 9,09% manje u odnosu na isto razdoblje prošle godine.
Prihodi od vodnog gospodarstva (šifra 6522) - izvorni prihodi Hrvatskih voda
ostvareni su u iznosu 115.711.593,07 EUR. Odnose se na prihode od namjenskih
vodnih naknada utvrđenih Zakonom o financiranju vodnog gospodarstva (NN 153/09, 90/11, 56/13, 154/14, 119/15, 120/16, 127/17, 66/19, 36/24); naknada za
uređenje voda, naknada za korištenje voda, vodni doprinos i naknadu za zaštitu
voda. Ostali nespomenuti prihodi (šifra 6526) ostvareni su u iznosu od
1.250.864,53 EUR, a odnose se na refundacije s osnova naplate troškova ovrha
putem odvjetnika, refundacije troškova programa iz ranijih godina i po konačnim
obračunima radova.</w:t>
      </w:r>
    </w:p>
    <w:p>
      <w:pPr>
        <w:spacing w:line="240"/>
        <w:jc w:val="both"/>
      </w:pPr>
      <w:r>
        <w:rPr>
          <w:rFonts w:ascii="Times New Roman" w:hAnsi="Times New Roman" w:cs="Times New Roman"/>
          <w:b/>
          <w:sz w:val="24"/>
        </w:rPr>
        <w:t xml:space="preserve">Prihodi od prodaje proizvoda i roba te pruženih usluga,
prihodi od donacija (šifra 66)</w:t>
      </w:r>
      <w:r>
        <w:rPr>
          <w:rFonts w:ascii="Times New Roman" w:hAnsi="Times New Roman" w:cs="Times New Roman"/>
          <w:sz w:val="24"/>
        </w:rPr>
        <w:t xml:space="preserve"> ostvareni su u ukupnom iznosu od 17.417.640,89 EUR,
249,30% više u odnosu na isto razdoblje prošle godine. Prihod od prodaje
proizvoda i robe te pruženih usluga (šifra 661)</w:t>
      </w:r>
      <w:r>
        <w:rPr>
          <w:rFonts w:ascii="Times New Roman" w:hAnsi="Times New Roman" w:cs="Times New Roman"/>
          <w:sz w:val="24"/>
        </w:rPr>
        <w:t xml:space="preserve"> ostvaren je u iznosu od 61.583,34 EUR, na istoj razini u odnosu na
isto razdoblje prošle godine. Donacije od
pravnih i fizičkih osoba izvan općeg proračuna (šifra 663) ostvarene su iznosom
od 17.356.057,55 EUR, 252,47% više u odnosu na isto razdoblje prošle godine.
Odnose se na zajedničke aktivnosti sa HEP proizvodnjom d.o.o. u zaštiti od
štetnog djelovanja voda u iznosu 693.078,04 EUR te kapitalne donacije sredstava
učešća trgovačkih društava 7.514.841,73 
EUR i javih isporučitelja vodnih usluga 9.148.137,78 EUR za projekte
vodnokomunalne infrastrukture sufinancirane bespovratnim sredstvima EU.</w:t>
      </w:r>
    </w:p>
    <w:p>
      <w:pPr>
        <w:spacing w:line="360"/>
        <w:jc w:val="left"/>
      </w:pPr>
      <w:r>
        <w:rPr>
          <w:b/>
          <w:u w:val="single"/>
          <w:sz w:val="24"/>
          <w:rFonts w:ascii="Times New Roman" w:hAnsi="Times New Roman" w:cs="Times New Roman"/>
        </w:rPr>
        <w:br/>
        <w:t xml:space="preserve">RASHODI</w:t>
      </w:r>
    </w:p>
    <w:tbl>
      <w:tblPr>
        <w:tblW w:w="4850" w:type="pct"/>
        <w:tblBorders>
          <w:top w:val="single" w:sz="5"/>
          <w:bottom w:val="single" w:sz="5"/>
          <w:left w:val="single" w:sz="5"/>
          <w:right w:val="single" w:sz="5"/>
          <w:insideH w:val="single" w:sz="5"/>
          <w:insideV w:val="single" w:sz="5"/>
        </w:tblBorders>
        <w:tblCellMar>
          <w:top w:w="0" w:type="dxa"/>
          <w:start w:w="100" w:type="dxa"/>
          <w:bottom w:w="0" w:type="dxa"/>
          <w:end w:w="100" w:type="dxa"/>
        </w:tblCellMar>
      </w:tblPr>
      <w:tr>
        <w:tc>
          <w:tcPr>
            <w:tcW w:w="1400" w:type="pct"/>
            <w:vAlign w:val="center"/>
            <w:shd w:val="clear" w:color="auto" w:fill="#bcdffb"/>
          </w:tcPr>
          <w:p>
            <w:pPr>
              <w:spacing w:after="0" w:line="240"/>
              <w:jc w:val="center"/>
            </w:pPr>
            <w:r>
              <w:rPr>
                <w:b/>
                <w:sz w:val="18"/>
                <w:rFonts w:ascii="Times New Roman" w:hAnsi="Times New Roman" w:cs="Times New Roman"/>
              </w:rPr>
              <w:t>BROJČANA OZNAKA I NAZIV</w:t>
            </w:r>
          </w:p>
        </w:tc>
        <w:tc>
          <w:tcPr>
            <w:tcW w:w="800" w:type="pct"/>
            <w:vAlign w:val="center"/>
            <w:shd w:val="clear" w:color="auto" w:fill="#bcdffb"/>
          </w:tcPr>
          <w:p>
            <w:pPr>
              <w:spacing w:after="0" w:line="240"/>
              <w:jc w:val="center"/>
            </w:pPr>
            <w:r>
              <w:rPr>
                <w:b/>
                <w:sz w:val="18"/>
                <w:rFonts w:ascii="Times New Roman" w:hAnsi="Times New Roman" w:cs="Times New Roman"/>
              </w:rPr>
              <w:t>IZVRŠENJE</w:t>
              <w:br/>
              <w:t>1.-6. 2024.</w:t>
            </w:r>
          </w:p>
        </w:tc>
        <w:tc>
          <w:tcPr>
            <w:tcW w:w="800" w:type="pct"/>
            <w:vAlign w:val="center"/>
            <w:shd w:val="clear" w:color="auto" w:fill="#bcdffb"/>
          </w:tcPr>
          <w:p>
            <w:pPr>
              <w:spacing w:after="0" w:line="240"/>
              <w:jc w:val="center"/>
            </w:pPr>
            <w:r>
              <w:rPr>
                <w:b/>
                <w:sz w:val="18"/>
                <w:rFonts w:ascii="Times New Roman" w:hAnsi="Times New Roman" w:cs="Times New Roman"/>
              </w:rPr>
              <w:t>PLAN</w:t>
              <w:br/>
              <w:t>2025.</w:t>
            </w:r>
          </w:p>
        </w:tc>
        <w:tc>
          <w:tcPr>
            <w:tcW w:w="800" w:type="pct"/>
            <w:vAlign w:val="center"/>
            <w:shd w:val="clear" w:color="auto" w:fill="#bcdffb"/>
          </w:tcPr>
          <w:p>
            <w:pPr>
              <w:spacing w:after="0" w:line="240"/>
              <w:jc w:val="center"/>
            </w:pPr>
            <w:r>
              <w:rPr>
                <w:b/>
                <w:sz w:val="18"/>
                <w:rFonts w:ascii="Times New Roman" w:hAnsi="Times New Roman" w:cs="Times New Roman"/>
              </w:rPr>
              <w:t>IZVRŠENJE</w:t>
              <w:br/>
              <w:t>1.-6. 2025.</w:t>
            </w:r>
          </w:p>
        </w:tc>
        <w:tc>
          <w:tcPr>
            <w:tcW w:w="500" w:type="pct"/>
            <w:vAlign w:val="center"/>
            <w:shd w:val="clear" w:color="auto" w:fill="#bcdffb"/>
          </w:tcPr>
          <w:p>
            <w:pPr>
              <w:spacing w:after="0" w:line="240"/>
              <w:jc w:val="center"/>
            </w:pPr>
            <w:r>
              <w:rPr>
                <w:b/>
                <w:sz w:val="18"/>
                <w:rFonts w:ascii="Times New Roman" w:hAnsi="Times New Roman" w:cs="Times New Roman"/>
              </w:rPr>
              <w:t>INDEKS</w:t>
            </w:r>
          </w:p>
        </w:tc>
        <w:tc>
          <w:tcPr>
            <w:tcW w:w="500" w:type="pct"/>
            <w:vAlign w:val="center"/>
            <w:shd w:val="clear" w:color="auto" w:fill="#bcdffb"/>
          </w:tcPr>
          <w:p>
            <w:pPr>
              <w:spacing w:after="0" w:line="240"/>
              <w:jc w:val="center"/>
            </w:pPr>
            <w:r>
              <w:rPr>
                <w:b/>
                <w:sz w:val="18"/>
                <w:rFonts w:ascii="Times New Roman" w:hAnsi="Times New Roman" w:cs="Times New Roman"/>
              </w:rPr>
              <w:t>INDEKS</w:t>
            </w:r>
          </w:p>
        </w:tc>
      </w:tr>
      <w:tr>
        <w:tc>
          <w:tcPr>
            <w:tcW w:w="1400" w:type="pct"/>
            <w:vAlign w:val="center"/>
            <w:shd w:val="clear" w:color="auto" w:fill="#bcdffb"/>
          </w:tcPr>
          <w:p>
            <w:pPr>
              <w:spacing w:after="0" w:line="240"/>
              <w:jc w:val="center"/>
            </w:pPr>
            <w:r>
              <w:rPr>
                <w:sz w:val="14"/>
                <w:rFonts w:ascii="Times New Roman" w:hAnsi="Times New Roman" w:cs="Times New Roman"/>
              </w:rPr>
              <w:t>1</w:t>
            </w:r>
          </w:p>
        </w:tc>
        <w:tc>
          <w:tcPr>
            <w:tcW w:w="800" w:type="pct"/>
            <w:vAlign w:val="center"/>
            <w:shd w:val="clear" w:color="auto" w:fill="#bcdffb"/>
          </w:tcPr>
          <w:p>
            <w:pPr>
              <w:spacing w:after="0" w:line="240"/>
              <w:jc w:val="center"/>
            </w:pPr>
            <w:r>
              <w:rPr>
                <w:sz w:val="14"/>
                <w:rFonts w:ascii="Times New Roman" w:hAnsi="Times New Roman" w:cs="Times New Roman"/>
              </w:rPr>
              <w:t>2</w:t>
            </w:r>
          </w:p>
        </w:tc>
        <w:tc>
          <w:tcPr>
            <w:tcW w:w="800" w:type="pct"/>
            <w:vAlign w:val="center"/>
            <w:shd w:val="clear" w:color="auto" w:fill="#bcdffb"/>
          </w:tcPr>
          <w:p>
            <w:pPr>
              <w:spacing w:after="0" w:line="240"/>
              <w:jc w:val="center"/>
            </w:pPr>
            <w:r>
              <w:rPr>
                <w:sz w:val="14"/>
                <w:rFonts w:ascii="Times New Roman" w:hAnsi="Times New Roman" w:cs="Times New Roman"/>
              </w:rPr>
              <w:t>3</w:t>
            </w:r>
          </w:p>
        </w:tc>
        <w:tc>
          <w:tcPr>
            <w:tcW w:w="800" w:type="pct"/>
            <w:vAlign w:val="center"/>
            <w:shd w:val="clear" w:color="auto" w:fill="#bcdffb"/>
          </w:tcPr>
          <w:p>
            <w:pPr>
              <w:spacing w:after="0" w:line="240"/>
              <w:jc w:val="center"/>
            </w:pPr>
            <w:r>
              <w:rPr>
                <w:sz w:val="14"/>
                <w:rFonts w:ascii="Times New Roman" w:hAnsi="Times New Roman" w:cs="Times New Roman"/>
              </w:rPr>
              <w:t>4</w:t>
            </w:r>
          </w:p>
        </w:tc>
        <w:tc>
          <w:tcPr>
            <w:tcW w:w="500" w:type="pct"/>
            <w:vAlign w:val="center"/>
            <w:shd w:val="clear" w:color="auto" w:fill="#bcdffb"/>
          </w:tcPr>
          <w:p>
            <w:pPr>
              <w:spacing w:after="0" w:line="240"/>
              <w:jc w:val="center"/>
            </w:pPr>
            <w:r>
              <w:rPr>
                <w:sz w:val="14"/>
                <w:rFonts w:ascii="Times New Roman" w:hAnsi="Times New Roman" w:cs="Times New Roman"/>
              </w:rPr>
              <w:t>5=4/2</w:t>
            </w:r>
          </w:p>
        </w:tc>
        <w:tc>
          <w:tcPr>
            <w:tcW w:w="500" w:type="pct"/>
            <w:vAlign w:val="center"/>
            <w:shd w:val="clear" w:color="auto" w:fill="#bcdffb"/>
          </w:tcPr>
          <w:p>
            <w:pPr>
              <w:spacing w:after="0" w:line="240"/>
              <w:jc w:val="center"/>
            </w:pPr>
            <w:r>
              <w:rPr>
                <w:sz w:val="14"/>
                <w:rFonts w:ascii="Times New Roman" w:hAnsi="Times New Roman" w:cs="Times New Roman"/>
              </w:rPr>
              <w:t>6=4/3</w:t>
            </w:r>
          </w:p>
        </w:tc>
      </w:tr>
      <w:tr>
        <w:tc>
          <w:tcPr>
            <w:tcW w:w="1400" w:type="pct"/>
            <w:vAlign w:val="center"/>
          </w:tcPr>
          <w:p>
            <w:pPr>
              <w:spacing w:after="0" w:line="240"/>
              <w:jc w:val="left"/>
            </w:pPr>
            <w:r>
              <w:rPr>
                <w:sz w:val="18"/>
                <w:rFonts w:ascii="Times New Roman" w:hAnsi="Times New Roman" w:cs="Times New Roman"/>
              </w:rPr>
              <w:t>3 RASHODI POSLOVANJA</w:t>
            </w:r>
          </w:p>
        </w:tc>
        <w:tc>
          <w:tcPr>
            <w:tcW w:w="800" w:type="pct"/>
            <w:vAlign w:val="bottom"/>
          </w:tcPr>
          <w:p>
            <w:pPr>
              <w:spacing w:after="0" w:line="240"/>
              <w:jc w:val="right"/>
            </w:pPr>
            <w:r>
              <w:rPr>
                <w:sz w:val="18"/>
                <w:rFonts w:ascii="Times New Roman" w:hAnsi="Times New Roman" w:cs="Times New Roman"/>
              </w:rPr>
              <w:t>221.942.127</w:t>
            </w:r>
          </w:p>
        </w:tc>
        <w:tc>
          <w:tcPr>
            <w:tcW w:w="800" w:type="pct"/>
            <w:vAlign w:val="bottom"/>
          </w:tcPr>
          <w:p>
            <w:pPr>
              <w:spacing w:after="0" w:line="240"/>
              <w:jc w:val="right"/>
            </w:pPr>
            <w:r>
              <w:rPr>
                <w:sz w:val="18"/>
                <w:rFonts w:ascii="Times New Roman" w:hAnsi="Times New Roman" w:cs="Times New Roman"/>
              </w:rPr>
              <w:t>961.438.506</w:t>
            </w:r>
          </w:p>
        </w:tc>
        <w:tc>
          <w:tcPr>
            <w:tcW w:w="800" w:type="pct"/>
            <w:vAlign w:val="bottom"/>
          </w:tcPr>
          <w:p>
            <w:pPr>
              <w:spacing w:after="0" w:line="240"/>
              <w:jc w:val="right"/>
            </w:pPr>
            <w:r>
              <w:rPr>
                <w:sz w:val="18"/>
                <w:rFonts w:ascii="Times New Roman" w:hAnsi="Times New Roman" w:cs="Times New Roman"/>
              </w:rPr>
              <w:t>301.320.861</w:t>
            </w:r>
          </w:p>
        </w:tc>
        <w:tc>
          <w:tcPr>
            <w:tcW w:w="500" w:type="pct"/>
            <w:vAlign w:val="bottom"/>
          </w:tcPr>
          <w:p>
            <w:pPr>
              <w:spacing w:after="0" w:line="240"/>
              <w:jc w:val="right"/>
            </w:pPr>
            <w:r>
              <w:rPr>
                <w:sz w:val="18"/>
                <w:rFonts w:ascii="Times New Roman" w:hAnsi="Times New Roman" w:cs="Times New Roman"/>
              </w:rPr>
              <w:t>135,8</w:t>
            </w:r>
          </w:p>
        </w:tc>
        <w:tc>
          <w:tcPr>
            <w:tcW w:w="500" w:type="pct"/>
            <w:vAlign w:val="bottom"/>
          </w:tcPr>
          <w:p>
            <w:pPr>
              <w:spacing w:after="0" w:line="240"/>
              <w:jc w:val="right"/>
            </w:pPr>
            <w:r>
              <w:rPr>
                <w:sz w:val="18"/>
                <w:rFonts w:ascii="Times New Roman" w:hAnsi="Times New Roman" w:cs="Times New Roman"/>
              </w:rPr>
              <w:t>31,3</w:t>
            </w:r>
          </w:p>
        </w:tc>
      </w:tr>
      <w:tr>
        <w:tc>
          <w:tcPr>
            <w:tcW w:w="1400" w:type="pct"/>
            <w:vAlign w:val="bottom"/>
          </w:tcPr>
          <w:p>
            <w:pPr>
              <w:spacing w:after="0" w:line="240"/>
              <w:jc w:val="left"/>
            </w:pPr>
            <w:r>
              <w:rPr>
                <w:sz w:val="18"/>
                <w:rFonts w:ascii="Times New Roman" w:hAnsi="Times New Roman" w:cs="Times New Roman"/>
              </w:rPr>
              <w:t>4 RASHODI ZA NABAVU NEFINANCIJSKE IMOVINE</w:t>
            </w:r>
          </w:p>
        </w:tc>
        <w:tc>
          <w:tcPr>
            <w:tcW w:w="800" w:type="pct"/>
            <w:vAlign w:val="bottom"/>
          </w:tcPr>
          <w:p>
            <w:pPr>
              <w:spacing w:after="0" w:line="240"/>
              <w:jc w:val="right"/>
            </w:pPr>
            <w:r>
              <w:rPr>
                <w:sz w:val="18"/>
                <w:rFonts w:ascii="Times New Roman" w:hAnsi="Times New Roman" w:cs="Times New Roman"/>
              </w:rPr>
              <w:t>41.733.221</w:t>
            </w:r>
          </w:p>
        </w:tc>
        <w:tc>
          <w:tcPr>
            <w:tcW w:w="800" w:type="pct"/>
            <w:vAlign w:val="bottom"/>
          </w:tcPr>
          <w:p>
            <w:pPr>
              <w:spacing w:after="0" w:line="240"/>
              <w:jc w:val="right"/>
            </w:pPr>
            <w:r>
              <w:rPr>
                <w:sz w:val="18"/>
                <w:rFonts w:ascii="Times New Roman" w:hAnsi="Times New Roman" w:cs="Times New Roman"/>
              </w:rPr>
              <w:t>114.424.345</w:t>
            </w:r>
          </w:p>
        </w:tc>
        <w:tc>
          <w:tcPr>
            <w:tcW w:w="800" w:type="pct"/>
            <w:vAlign w:val="bottom"/>
          </w:tcPr>
          <w:p>
            <w:pPr>
              <w:spacing w:after="0" w:line="240"/>
              <w:jc w:val="right"/>
            </w:pPr>
            <w:r>
              <w:rPr>
                <w:sz w:val="18"/>
                <w:rFonts w:ascii="Times New Roman" w:hAnsi="Times New Roman" w:cs="Times New Roman"/>
              </w:rPr>
              <w:t>35.507.068</w:t>
            </w:r>
          </w:p>
        </w:tc>
        <w:tc>
          <w:tcPr>
            <w:tcW w:w="500" w:type="pct"/>
            <w:vAlign w:val="bottom"/>
          </w:tcPr>
          <w:p>
            <w:pPr>
              <w:spacing w:after="0" w:line="240"/>
              <w:jc w:val="right"/>
            </w:pPr>
            <w:r>
              <w:rPr>
                <w:sz w:val="18"/>
                <w:rFonts w:ascii="Times New Roman" w:hAnsi="Times New Roman" w:cs="Times New Roman"/>
              </w:rPr>
              <w:t>85,1</w:t>
            </w:r>
          </w:p>
        </w:tc>
        <w:tc>
          <w:tcPr>
            <w:tcW w:w="500" w:type="pct"/>
            <w:vAlign w:val="bottom"/>
          </w:tcPr>
          <w:p>
            <w:pPr>
              <w:spacing w:after="0" w:line="240"/>
              <w:jc w:val="right"/>
            </w:pPr>
            <w:r>
              <w:rPr>
                <w:sz w:val="18"/>
                <w:rFonts w:ascii="Times New Roman" w:hAnsi="Times New Roman" w:cs="Times New Roman"/>
              </w:rPr>
              <w:t>31,0</w:t>
            </w:r>
          </w:p>
        </w:tc>
      </w:tr>
      <w:tr>
        <w:tc>
          <w:tcPr>
            <w:tcW w:w="1400" w:type="pct"/>
            <w:vAlign w:val="bottom"/>
          </w:tcPr>
          <w:p>
            <w:pPr>
              <w:spacing w:after="0" w:line="240"/>
              <w:jc w:val="left"/>
            </w:pPr>
            <w:r>
              <w:rPr>
                <w:b/>
                <w:sz w:val="18"/>
                <w:rFonts w:ascii="Times New Roman" w:hAnsi="Times New Roman" w:cs="Times New Roman"/>
              </w:rPr>
              <w:t>UKUPNI RASHODI</w:t>
            </w:r>
          </w:p>
        </w:tc>
        <w:tc>
          <w:tcPr>
            <w:tcW w:w="800" w:type="pct"/>
            <w:vAlign w:val="bottom"/>
          </w:tcPr>
          <w:p>
            <w:pPr>
              <w:spacing w:after="0" w:line="240"/>
              <w:jc w:val="right"/>
            </w:pPr>
            <w:r>
              <w:rPr>
                <w:b/>
                <w:sz w:val="18"/>
                <w:rFonts w:ascii="Times New Roman" w:hAnsi="Times New Roman" w:cs="Times New Roman"/>
              </w:rPr>
              <w:t>263.675.348</w:t>
            </w:r>
          </w:p>
        </w:tc>
        <w:tc>
          <w:tcPr>
            <w:tcW w:w="800" w:type="pct"/>
            <w:vAlign w:val="bottom"/>
          </w:tcPr>
          <w:p>
            <w:pPr>
              <w:spacing w:after="0" w:line="240"/>
              <w:jc w:val="right"/>
            </w:pPr>
            <w:r>
              <w:rPr>
                <w:b/>
                <w:sz w:val="18"/>
                <w:rFonts w:ascii="Times New Roman" w:hAnsi="Times New Roman" w:cs="Times New Roman"/>
              </w:rPr>
              <w:t>1.075.862.851</w:t>
            </w:r>
          </w:p>
        </w:tc>
        <w:tc>
          <w:tcPr>
            <w:tcW w:w="800" w:type="pct"/>
            <w:vAlign w:val="bottom"/>
          </w:tcPr>
          <w:p>
            <w:pPr>
              <w:spacing w:after="0" w:line="240"/>
              <w:jc w:val="right"/>
            </w:pPr>
            <w:r>
              <w:rPr>
                <w:b/>
                <w:sz w:val="18"/>
                <w:rFonts w:ascii="Times New Roman" w:hAnsi="Times New Roman" w:cs="Times New Roman"/>
              </w:rPr>
              <w:t>336.827.930</w:t>
            </w:r>
          </w:p>
        </w:tc>
        <w:tc>
          <w:tcPr>
            <w:tcW w:w="500" w:type="pct"/>
            <w:vAlign w:val="bottom"/>
          </w:tcPr>
          <w:p>
            <w:pPr>
              <w:spacing w:after="0" w:line="240"/>
              <w:jc w:val="right"/>
            </w:pPr>
            <w:r>
              <w:rPr>
                <w:b/>
                <w:sz w:val="18"/>
                <w:rFonts w:ascii="Times New Roman" w:hAnsi="Times New Roman" w:cs="Times New Roman"/>
              </w:rPr>
              <w:t>127,7</w:t>
            </w:r>
          </w:p>
        </w:tc>
        <w:tc>
          <w:tcPr>
            <w:tcW w:w="500" w:type="pct"/>
            <w:vAlign w:val="bottom"/>
          </w:tcPr>
          <w:p>
            <w:pPr>
              <w:spacing w:after="0" w:line="240"/>
              <w:jc w:val="right"/>
            </w:pPr>
            <w:r>
              <w:rPr>
                <w:b/>
                <w:sz w:val="18"/>
                <w:rFonts w:ascii="Times New Roman" w:hAnsi="Times New Roman" w:cs="Times New Roman"/>
              </w:rPr>
              <w:t>31,3</w:t>
            </w:r>
          </w:p>
        </w:tc>
      </w:tr>
    </w:tbl>
    <w:p>
      <w:pPr>
        <w:spacing w:after="0" w:line="240"/>
      </w:pPr>
    </w:p>
    <w:p>
      <w:pPr>
        <w:spacing w:line="240"/>
        <w:jc w:val="both"/>
      </w:pPr>
      <w:r>
        <w:rPr>
          <w:rFonts w:ascii="Times New Roman" w:hAnsi="Times New Roman" w:cs="Times New Roman"/>
          <w:color w:val="000000"/>
          <w:sz w:val="24"/>
        </w:rPr>
        <w:t xml:space="preserve">U razdoblju siječanj - lipanj
2025. godine ukupni rashodi ostvareni su iznosom od  </w:t>
      </w:r>
      <w:r>
        <w:rPr>
          <w:rFonts w:ascii="Times New Roman" w:hAnsi="Times New Roman" w:cs="Times New Roman"/>
          <w:color w:val="000000"/>
          <w:sz w:val="24"/>
        </w:rPr>
        <w:t xml:space="preserve">336.827.929,72</w:t>
      </w:r>
      <w:r>
        <w:rPr>
          <w:rFonts w:ascii="Times New Roman" w:hAnsi="Times New Roman" w:cs="Times New Roman"/>
          <w:color w:val="000000"/>
          <w:sz w:val="24"/>
        </w:rPr>
        <w:t xml:space="preserve"> EUR od čega su rashodi</w:t>
      </w:r>
      <w:r>
        <w:rPr>
          <w:rFonts w:ascii="Times New Roman" w:hAnsi="Times New Roman" w:cs="Times New Roman"/>
          <w:color w:val="000000"/>
          <w:sz w:val="24"/>
        </w:rPr>
        <w:t xml:space="preserve">  </w:t>
      </w:r>
      <w:r>
        <w:rPr>
          <w:rFonts w:ascii="Times New Roman" w:hAnsi="Times New Roman" w:cs="Times New Roman"/>
          <w:color w:val="000000"/>
          <w:sz w:val="24"/>
        </w:rPr>
        <w:t xml:space="preserve">poslovanja (šifra 3) ostvareni su iznosu od </w:t>
      </w:r>
      <w:r>
        <w:rPr>
          <w:rFonts w:ascii="Times New Roman" w:hAnsi="Times New Roman" w:cs="Times New Roman"/>
          <w:color w:val="000000"/>
          <w:sz w:val="24"/>
        </w:rPr>
        <w:t xml:space="preserve">301.320.861,43</w:t>
      </w:r>
      <w:r>
        <w:rPr>
          <w:rFonts w:ascii="Times New Roman" w:hAnsi="Times New Roman" w:cs="Times New Roman"/>
          <w:color w:val="000000"/>
          <w:sz w:val="24"/>
        </w:rPr>
        <w:t xml:space="preserve"> EUR, 35,77% više u odnosu na isto razdoblje prošle godine, a rashodi za nabavu
nefinancijske imovine (šifra 4) iznosom od </w:t>
      </w:r>
      <w:r>
        <w:rPr>
          <w:rFonts w:ascii="Times New Roman" w:hAnsi="Times New Roman" w:cs="Times New Roman"/>
          <w:color w:val="000000"/>
          <w:sz w:val="24"/>
        </w:rPr>
        <w:t xml:space="preserve">35.507.068,29</w:t>
      </w:r>
      <w:r>
        <w:rPr>
          <w:rFonts w:ascii="Times New Roman" w:hAnsi="Times New Roman" w:cs="Times New Roman"/>
          <w:color w:val="000000"/>
          <w:sz w:val="24"/>
        </w:rPr>
        <w:t xml:space="preserve"> EUR, 14,92% manje u
odnosu na isto razdoblje prošle godine. U okviru rashoda ostvareni su
rashodi kako slijedi:</w:t>
      </w:r>
    </w:p>
    <w:p>
      <w:pPr>
        <w:spacing w:line="240"/>
        <w:jc w:val="both"/>
      </w:pPr>
      <w:r>
        <w:rPr>
          <w:rFonts w:ascii="Times New Roman" w:hAnsi="Times New Roman" w:cs="Times New Roman"/>
          <w:b/>
          <w:color w:val="000000"/>
          <w:sz w:val="24"/>
        </w:rPr>
        <w:t xml:space="preserve">Rashodi za zaposlene</w:t>
      </w:r>
      <w:r>
        <w:rPr>
          <w:rFonts w:ascii="Times New Roman" w:hAnsi="Times New Roman" w:cs="Times New Roman"/>
          <w:color w:val="000000"/>
          <w:sz w:val="24"/>
        </w:rPr>
        <w:t xml:space="preserve">(šifra 31) iznose </w:t>
      </w:r>
      <w:r>
        <w:rPr>
          <w:rFonts w:ascii="Times New Roman" w:hAnsi="Times New Roman" w:cs="Times New Roman"/>
          <w:color w:val="000000"/>
          <w:sz w:val="24"/>
        </w:rPr>
        <w:t xml:space="preserve">17.305.646,97</w:t>
      </w:r>
      <w:r>
        <w:rPr>
          <w:rFonts w:ascii="Times New Roman" w:hAnsi="Times New Roman" w:cs="Times New Roman"/>
          <w:color w:val="000000"/>
          <w:sz w:val="24"/>
        </w:rPr>
        <w:t xml:space="preserve"> EUR, a odnose se na plaće, ostale
rashode za zaposlene (neoporezive naknade: jubilarne nagrade, uskrsnica, naknade
za odlazak u mirovinu, naknade za bolest, invalidnost i smrtni slučaj, potpore
za novorođenu djecu, regres za godišnji odmor), te doprinose na plaću.</w:t>
      </w:r>
    </w:p>
    <w:p>
      <w:pPr>
        <w:spacing w:line="240"/>
        <w:jc w:val="both"/>
      </w:pPr>
      <w:r>
        <w:rPr>
          <w:rFonts w:ascii="Times New Roman" w:hAnsi="Times New Roman" w:cs="Times New Roman"/>
          <w:b/>
          <w:color w:val="000000"/>
          <w:sz w:val="24"/>
        </w:rPr>
        <w:t xml:space="preserve">Materijalni
rashodi </w:t>
      </w:r>
      <w:r>
        <w:rPr>
          <w:rFonts w:ascii="Times New Roman" w:hAnsi="Times New Roman" w:cs="Times New Roman"/>
          <w:color w:val="000000"/>
          <w:sz w:val="24"/>
        </w:rPr>
        <w:t xml:space="preserve">(šifra 32)</w:t>
      </w:r>
      <w:r>
        <w:rPr>
          <w:rFonts w:ascii="Times New Roman" w:hAnsi="Times New Roman" w:cs="Times New Roman"/>
          <w:b/>
          <w:color w:val="000000"/>
          <w:sz w:val="24"/>
        </w:rPr>
        <w:t xml:space="preserve"> </w:t>
      </w:r>
      <w:r>
        <w:rPr>
          <w:rFonts w:ascii="Times New Roman" w:hAnsi="Times New Roman" w:cs="Times New Roman"/>
          <w:color w:val="000000"/>
          <w:sz w:val="24"/>
        </w:rPr>
        <w:t xml:space="preserve">iznose </w:t>
      </w:r>
      <w:r>
        <w:rPr>
          <w:rFonts w:ascii="Times New Roman" w:hAnsi="Times New Roman" w:cs="Times New Roman"/>
          <w:color w:val="000000"/>
          <w:sz w:val="24"/>
        </w:rPr>
        <w:t xml:space="preserve">68.443.054,24</w:t>
      </w:r>
      <w:r>
        <w:rPr>
          <w:rFonts w:ascii="Times New Roman" w:hAnsi="Times New Roman" w:cs="Times New Roman"/>
          <w:color w:val="000000"/>
          <w:sz w:val="24"/>
        </w:rPr>
        <w:t xml:space="preserve"> EUR, a odnose se na naknade troškova zaposlenima, rashode za
materijal i energiju, rashode za usluge i ostale nespomenute rashode
poslovanja. Najznačajniji iznos ostvaren je u okviru rashoda za usluge (šifra
323) </w:t>
      </w:r>
      <w:r>
        <w:rPr>
          <w:rFonts w:ascii="Times New Roman" w:hAnsi="Times New Roman" w:cs="Times New Roman"/>
          <w:color w:val="000000"/>
          <w:sz w:val="24"/>
        </w:rPr>
        <w:t xml:space="preserve">65.151.650,64</w:t>
      </w:r>
      <w:r>
        <w:rPr>
          <w:rFonts w:ascii="Times New Roman" w:hAnsi="Times New Roman" w:cs="Times New Roman"/>
          <w:color w:val="000000"/>
          <w:sz w:val="24"/>
        </w:rPr>
        <w:t xml:space="preserve"> EUR koji iznos se odnosi najvećim dijelom</w:t>
      </w:r>
      <w:r>
        <w:rPr>
          <w:rFonts w:ascii="Times New Roman" w:hAnsi="Times New Roman" w:cs="Times New Roman"/>
          <w:color w:val="000000"/>
          <w:sz w:val="24"/>
        </w:rPr>
        <w:t xml:space="preserve">  </w:t>
      </w:r>
      <w:r>
        <w:rPr>
          <w:rFonts w:ascii="Times New Roman" w:hAnsi="Times New Roman" w:cs="Times New Roman"/>
          <w:color w:val="000000"/>
          <w:sz w:val="24"/>
        </w:rPr>
        <w:t xml:space="preserve">na rashode za usluge tekućeg i investicijskog
održavanje (šifra 3232) – </w:t>
      </w:r>
      <w:r>
        <w:rPr>
          <w:rFonts w:ascii="Times New Roman" w:hAnsi="Times New Roman" w:cs="Times New Roman"/>
          <w:color w:val="000000"/>
          <w:sz w:val="24"/>
        </w:rPr>
        <w:t xml:space="preserve">51.850.900,60</w:t>
      </w:r>
      <w:r>
        <w:rPr>
          <w:rFonts w:ascii="Times New Roman" w:hAnsi="Times New Roman" w:cs="Times New Roman"/>
          <w:color w:val="000000"/>
          <w:sz w:val="24"/>
        </w:rPr>
        <w:t xml:space="preserve"> EUR; za preventivnu, redovnu i
izvanrednu obranu od poplava na vodnim područjima za redovno održavanje i
obnavljanje vodotoka, vodnih građevina i vodnoga dobra te održavanje i obnavljanje
detaljnih melioracijskih građevina za odvodnju i navodnjavanje (51.710.534,06 EUR)
i za tekuće i investicijsko održavanje poslovnih prostora, postrojenja i
opreme, prijevoznih sredstava (</w:t>
      </w:r>
      <w:r>
        <w:rPr>
          <w:rFonts w:ascii="Times New Roman" w:hAnsi="Times New Roman" w:cs="Times New Roman"/>
          <w:color w:val="000000"/>
          <w:sz w:val="24"/>
        </w:rPr>
        <w:t xml:space="preserve">140.366,54</w:t>
      </w:r>
      <w:r>
        <w:rPr>
          <w:rFonts w:ascii="Times New Roman" w:hAnsi="Times New Roman" w:cs="Times New Roman"/>
          <w:color w:val="000000"/>
          <w:sz w:val="24"/>
        </w:rPr>
        <w:t xml:space="preserve"> EUR). U okviru ovih rashoda nalaze se
i rashodi za ostale usluge (šifra 3239) ostvareni iznosom od </w:t>
      </w:r>
      <w:r>
        <w:rPr>
          <w:rFonts w:ascii="Times New Roman" w:hAnsi="Times New Roman" w:cs="Times New Roman"/>
          <w:color w:val="000000"/>
          <w:sz w:val="24"/>
        </w:rPr>
        <w:t xml:space="preserve">8.976.987,18</w:t>
      </w:r>
      <w:r>
        <w:rPr>
          <w:rFonts w:ascii="Times New Roman" w:hAnsi="Times New Roman" w:cs="Times New Roman"/>
          <w:color w:val="000000"/>
          <w:sz w:val="24"/>
        </w:rPr>
        <w:t xml:space="preserve"> EUR,
a iste se prvenstveno odnose na rashode za tehničke poslove od općeg interesa
za upravljanje vodama (praćenje stanja voda, istražne radove, planske
dokumente, idejna rješenja, studije utjecaja na okoliš, ocjene prihvatljivosti
zahvata za prirodu, projekata s međunarodnim sufinanciranjem i ostalo)
ostvarene iznosom </w:t>
      </w:r>
      <w:r>
        <w:rPr>
          <w:rFonts w:ascii="Times New Roman" w:hAnsi="Times New Roman" w:cs="Times New Roman"/>
          <w:color w:val="000000"/>
          <w:sz w:val="24"/>
        </w:rPr>
        <w:t xml:space="preserve">1.170.235,91</w:t>
      </w:r>
      <w:r>
        <w:rPr>
          <w:rFonts w:ascii="Times New Roman" w:hAnsi="Times New Roman" w:cs="Times New Roman"/>
          <w:color w:val="000000"/>
          <w:sz w:val="24"/>
        </w:rPr>
        <w:t xml:space="preserve"> EUR i izdatke za obračun i naplatu naknada ostvarene
iznosom </w:t>
      </w:r>
      <w:r>
        <w:rPr>
          <w:rFonts w:ascii="Times New Roman" w:hAnsi="Times New Roman" w:cs="Times New Roman"/>
          <w:color w:val="000000"/>
          <w:sz w:val="24"/>
        </w:rPr>
        <w:t xml:space="preserve">7.295.416,10</w:t>
      </w:r>
      <w:r>
        <w:rPr>
          <w:rFonts w:ascii="Times New Roman" w:hAnsi="Times New Roman" w:cs="Times New Roman"/>
          <w:color w:val="000000"/>
          <w:sz w:val="24"/>
        </w:rPr>
        <w:t xml:space="preserve"> EUR (zakonska obaveza plaćanja naknade od 5% za usluge
obračuna i naplate naknade za zaštitu i korištenje voda pravnim osobama koje
obavljaju vodoopskrbnu djelatnost i 10% pravnim osobama, odnosno jedinicama
lokalne samouprave koje obavljaju poslove utvrđivanja i naplate komunalne
naknade i uz to naplaćuju i naknadu za uređenje voda), i ostalo ostvareno
iznosom od </w:t>
      </w:r>
      <w:r>
        <w:rPr>
          <w:rFonts w:ascii="Times New Roman" w:hAnsi="Times New Roman" w:cs="Times New Roman"/>
          <w:color w:val="000000"/>
          <w:sz w:val="24"/>
        </w:rPr>
        <w:t xml:space="preserve">511.335,17</w:t>
      </w:r>
      <w:r>
        <w:rPr>
          <w:rFonts w:ascii="Times New Roman" w:hAnsi="Times New Roman" w:cs="Times New Roman"/>
          <w:color w:val="000000"/>
          <w:sz w:val="24"/>
        </w:rPr>
        <w:t xml:space="preserve"> EUR (usluge uređenja prostora, usluge pri registraciji
vozila, usluge čišćenja i pranja, usluge čuvanja imovine i sl.).</w:t>
      </w:r>
    </w:p>
    <w:p>
      <w:pPr>
        <w:spacing w:line="240"/>
        <w:jc w:val="both"/>
      </w:pPr>
      <w:r>
        <w:rPr>
          <w:rFonts w:ascii="Times New Roman" w:hAnsi="Times New Roman" w:cs="Times New Roman"/>
          <w:b/>
          <w:color w:val="000000"/>
          <w:sz w:val="24"/>
        </w:rPr>
        <w:t xml:space="preserve">Financijski
rashodi </w:t>
      </w:r>
      <w:r>
        <w:rPr>
          <w:rFonts w:ascii="Times New Roman" w:hAnsi="Times New Roman" w:cs="Times New Roman"/>
          <w:color w:val="000000"/>
          <w:sz w:val="24"/>
        </w:rPr>
        <w:t xml:space="preserve">(šifra 34) iznose </w:t>
      </w:r>
      <w:r>
        <w:rPr>
          <w:rFonts w:ascii="Times New Roman" w:hAnsi="Times New Roman" w:cs="Times New Roman"/>
          <w:color w:val="000000"/>
          <w:sz w:val="24"/>
        </w:rPr>
        <w:t xml:space="preserve">3.815.573,72</w:t>
      </w:r>
      <w:r>
        <w:rPr>
          <w:rFonts w:ascii="Times New Roman" w:hAnsi="Times New Roman" w:cs="Times New Roman"/>
          <w:color w:val="000000"/>
          <w:sz w:val="24"/>
        </w:rPr>
        <w:t xml:space="preserve"> EUR, 37,92% više u
odnosu na isto razdoblje prošle godine prvenstveno zbog obveza
za kamate koje dolaze na naplatu po kreditima domaćih banaka. Financijski
rashodi odnose se na kamate po kreditima domaćih banaka i ostale rashode
(bankarske usluge i platni promet, tečajne razlike i zatezne kamate).</w:t>
      </w:r>
    </w:p>
    <w:p>
      <w:pPr>
        <w:spacing w:line="240"/>
        <w:jc w:val="both"/>
      </w:pPr>
      <w:r>
        <w:rPr>
          <w:rFonts w:ascii="Times New Roman" w:hAnsi="Times New Roman" w:cs="Times New Roman"/>
          <w:b/>
          <w:color w:val="000000"/>
          <w:sz w:val="24"/>
        </w:rPr>
        <w:t xml:space="preserve">Subvencije </w:t>
      </w:r>
      <w:r>
        <w:rPr>
          <w:rFonts w:ascii="Times New Roman" w:hAnsi="Times New Roman" w:cs="Times New Roman"/>
          <w:color w:val="000000"/>
          <w:sz w:val="24"/>
        </w:rPr>
        <w:t xml:space="preserve">(šifra
35) iznose </w:t>
      </w:r>
      <w:r>
        <w:rPr>
          <w:rFonts w:ascii="Times New Roman" w:hAnsi="Times New Roman" w:cs="Times New Roman"/>
          <w:color w:val="000000"/>
          <w:sz w:val="24"/>
        </w:rPr>
        <w:t xml:space="preserve">70.139,59</w:t>
      </w:r>
      <w:r>
        <w:rPr>
          <w:rFonts w:ascii="Times New Roman" w:hAnsi="Times New Roman" w:cs="Times New Roman"/>
          <w:color w:val="000000"/>
          <w:sz w:val="24"/>
        </w:rPr>
        <w:t xml:space="preserve"> EUR, 33,33% manje u odnosu na isto razdoblje prošle
godine. Odnose se na subvencije trgovačkim društvima u javnom sektoru (Ličke
Vode d.o.o. Korenica - sufinanciranje mobilnog uređaja za pročišćavanje otpadnih
voda u NP Plitvička jezera).</w:t>
      </w:r>
    </w:p>
    <w:p>
      <w:pPr>
        <w:spacing w:line="240"/>
        <w:jc w:val="both"/>
      </w:pPr>
      <w:r>
        <w:rPr>
          <w:rFonts w:ascii="Times New Roman" w:hAnsi="Times New Roman" w:cs="Times New Roman"/>
          <w:b/>
          <w:color w:val="000000"/>
          <w:sz w:val="24"/>
        </w:rPr>
        <w:t xml:space="preserve">Pomoći dane
u inozemstvo i unutar općeg proračuna </w:t>
      </w:r>
      <w:r>
        <w:rPr>
          <w:rFonts w:ascii="Times New Roman" w:hAnsi="Times New Roman" w:cs="Times New Roman"/>
          <w:color w:val="000000"/>
          <w:sz w:val="24"/>
        </w:rPr>
        <w:t xml:space="preserve">(šifra 36)</w:t>
      </w:r>
      <w:r>
        <w:rPr>
          <w:rFonts w:ascii="Times New Roman" w:hAnsi="Times New Roman" w:cs="Times New Roman"/>
          <w:b/>
          <w:color w:val="000000"/>
          <w:sz w:val="24"/>
        </w:rPr>
        <w:t xml:space="preserve"> </w:t>
      </w:r>
      <w:r>
        <w:rPr>
          <w:rFonts w:ascii="Times New Roman" w:hAnsi="Times New Roman" w:cs="Times New Roman"/>
          <w:color w:val="000000"/>
          <w:sz w:val="24"/>
        </w:rPr>
        <w:t xml:space="preserve">iznose 7.070.765,90 EUR, 33,62% više u
odnosu na isto razdoblje prošle godine. Odnose se na tekuće pomoći unutar općeg proračuna (šifra 3631) kao tekuće pomoći državnom
proračunu Institutu za vode Josip Juraj Strossmayer u iznosu 6.154.408,00 EUR i
kapitalne pomoći unutar općeg proračuna u iznosu
853.564,92 EUR (projekti navodnjavanja, sanacija
klizišta, zaštite od štetnog djelovanja voda). </w:t>
      </w:r>
    </w:p>
    <w:p>
      <w:pPr>
        <w:spacing w:line="240"/>
        <w:jc w:val="both"/>
      </w:pPr>
      <w:r>
        <w:rPr>
          <w:rFonts w:ascii="Times New Roman" w:hAnsi="Times New Roman" w:cs="Times New Roman"/>
          <w:color w:val="000000"/>
          <w:sz w:val="24"/>
        </w:rPr>
        <w:t xml:space="preserve">Pomoći temeljem prijenosa EU sredstava (368) u
iznosu 62.792,98 EUR sastoje se od pomoći proračunskim korisnicima državnog
proračuna temeljem prijenosa EU sredstava (projekti štetnog djelovanja voda i programi EU fondova).</w:t>
      </w:r>
    </w:p>
    <w:p>
      <w:pPr>
        <w:spacing w:line="240"/>
        <w:jc w:val="both"/>
      </w:pPr>
      <w:r>
        <w:rPr>
          <w:rFonts w:ascii="Times New Roman" w:hAnsi="Times New Roman" w:cs="Times New Roman"/>
          <w:b/>
          <w:color w:val="000000"/>
          <w:sz w:val="24"/>
        </w:rPr>
        <w:t xml:space="preserve">Ostali
rashodi</w:t>
      </w:r>
      <w:r>
        <w:rPr>
          <w:rFonts w:ascii="Times New Roman" w:hAnsi="Times New Roman" w:cs="Times New Roman"/>
          <w:color w:val="000000"/>
          <w:sz w:val="24"/>
        </w:rPr>
        <w:t xml:space="preserve"> (šifra 38) iznose </w:t>
      </w:r>
      <w:r>
        <w:rPr>
          <w:rFonts w:ascii="Times New Roman" w:hAnsi="Times New Roman" w:cs="Times New Roman"/>
          <w:color w:val="000000"/>
          <w:sz w:val="24"/>
        </w:rPr>
        <w:t xml:space="preserve">204.615.681,01</w:t>
      </w:r>
      <w:r>
        <w:rPr>
          <w:rFonts w:ascii="Times New Roman" w:hAnsi="Times New Roman" w:cs="Times New Roman"/>
          <w:color w:val="000000"/>
          <w:sz w:val="24"/>
        </w:rPr>
        <w:t xml:space="preserve"> EUR, 57,15% više
u odnosu na isto razdoblje prošle godine. Odnose se na tekuće donacije i
kapitalne pomoći.</w:t>
      </w:r>
    </w:p>
    <w:p>
      <w:pPr>
        <w:spacing w:line="240"/>
        <w:jc w:val="both"/>
      </w:pPr>
      <w:r>
        <w:rPr>
          <w:rFonts w:ascii="Times New Roman" w:hAnsi="Times New Roman" w:cs="Times New Roman"/>
          <w:color w:val="000000"/>
          <w:sz w:val="24"/>
        </w:rPr>
        <w:t xml:space="preserve">Najznačajniji
iznos u okviru ovih rashoda predstavljaju kapitalne pomoći (šifra 386) ostvarene
iznosom od </w:t>
      </w:r>
      <w:r>
        <w:rPr>
          <w:rFonts w:ascii="Times New Roman" w:hAnsi="Times New Roman" w:cs="Times New Roman"/>
          <w:color w:val="000000"/>
          <w:sz w:val="24"/>
        </w:rPr>
        <w:t xml:space="preserve">204.615.141,01</w:t>
      </w:r>
      <w:r>
        <w:rPr>
          <w:rFonts w:ascii="Times New Roman" w:hAnsi="Times New Roman" w:cs="Times New Roman"/>
          <w:color w:val="000000"/>
          <w:sz w:val="24"/>
        </w:rPr>
        <w:t xml:space="preserve"> EUR, 57,17% više u odnosu na isto razdoblje prošle
godine. Odnose se na kapitalne pomoći trgovačkim društvima u javnom sektoru
(šifra 3861) – </w:t>
      </w:r>
      <w:r>
        <w:rPr>
          <w:rFonts w:ascii="Times New Roman" w:hAnsi="Times New Roman" w:cs="Times New Roman"/>
          <w:color w:val="000000"/>
          <w:sz w:val="24"/>
        </w:rPr>
        <w:t xml:space="preserve">76.300.816,74</w:t>
      </w:r>
      <w:r>
        <w:rPr>
          <w:rFonts w:ascii="Times New Roman" w:hAnsi="Times New Roman" w:cs="Times New Roman"/>
          <w:color w:val="000000"/>
          <w:sz w:val="24"/>
        </w:rPr>
        <w:t xml:space="preserve"> EUR i na Kapitalne pomoći iz EU sredstava (šifra
3864) – </w:t>
      </w:r>
      <w:r>
        <w:rPr>
          <w:rFonts w:ascii="Times New Roman" w:hAnsi="Times New Roman" w:cs="Times New Roman"/>
          <w:color w:val="000000"/>
          <w:sz w:val="24"/>
        </w:rPr>
        <w:t xml:space="preserve">128.314.324,27</w:t>
      </w:r>
      <w:r>
        <w:rPr>
          <w:rFonts w:ascii="Times New Roman" w:hAnsi="Times New Roman" w:cs="Times New Roman"/>
          <w:color w:val="000000"/>
          <w:sz w:val="24"/>
        </w:rPr>
        <w:t xml:space="preserve"> EUR</w:t>
      </w:r>
      <w:r>
        <w:rPr>
          <w:rFonts w:ascii="Times New Roman" w:hAnsi="Times New Roman" w:cs="Times New Roman"/>
          <w:color w:val="000000"/>
          <w:sz w:val="24"/>
        </w:rPr>
        <w:t xml:space="preserve"> (u okviru programa investicijskih aktivnosti – Ulaganja u obnovu i
razvitak vodoopskrbe u iznosu 43.884.688,22 EUR, Ulaganja u objekte zaštite
voda i mora od zagađivanja u iznosu 27.317.339,39 EUR i projekata iz EU fondova
u iznosu 57.112.296,66 EUR).</w:t>
      </w:r>
    </w:p>
    <w:p>
      <w:pPr>
        <w:spacing w:line="240"/>
        <w:jc w:val="both"/>
      </w:pPr>
      <w:r>
        <w:rPr>
          <w:rFonts w:ascii="Times New Roman" w:hAnsi="Times New Roman" w:cs="Times New Roman"/>
          <w:b/>
          <w:color w:val="000000"/>
          <w:sz w:val="24"/>
        </w:rPr>
        <w:t xml:space="preserve">Rashodi za
nabavu nefinancijske imovine </w:t>
      </w:r>
      <w:r>
        <w:rPr>
          <w:rFonts w:ascii="Times New Roman" w:hAnsi="Times New Roman" w:cs="Times New Roman"/>
          <w:color w:val="000000"/>
          <w:sz w:val="24"/>
        </w:rPr>
        <w:t xml:space="preserve">(šifra 4) ostvareni su u
iznosu od </w:t>
      </w:r>
      <w:r>
        <w:rPr>
          <w:rFonts w:ascii="Times New Roman" w:hAnsi="Times New Roman" w:cs="Times New Roman"/>
          <w:color w:val="000000"/>
          <w:sz w:val="24"/>
        </w:rPr>
        <w:t xml:space="preserve">35.507.068,29</w:t>
      </w:r>
      <w:r>
        <w:rPr>
          <w:rFonts w:ascii="Times New Roman" w:hAnsi="Times New Roman" w:cs="Times New Roman"/>
          <w:color w:val="000000"/>
          <w:sz w:val="24"/>
        </w:rPr>
        <w:t xml:space="preserve"> EUR, 14,92% manje nego u istom razdoblju prošle godine. Odnose
se na rashode za nabavu neproizvedene dugotrajne imovine (zemljišta), rashoda
za nabavu proizvedene dugotrajne imovine (građevinski i poslovni objekti, objekti
navodnjavanja), uredske opreme i namještaja, telekomunikacijske opreme, uređaja
za posebne namjene u opreme za obranu od poplava, ulaganja u računalne programe
i objekte obrane od poplava.</w:t>
      </w:r>
    </w:p>
    <w:p>
      <w:pPr>
        <w:spacing w:line="360"/>
        <w:jc w:val="left"/>
      </w:pPr>
      <w:r>
        <w:rPr>
          <w:b/>
          <w:u w:val="single"/>
          <w:sz w:val="24"/>
          <w:rFonts w:ascii="Times New Roman" w:hAnsi="Times New Roman" w:cs="Times New Roman"/>
        </w:rPr>
        <w:br/>
        <w:t xml:space="preserve">RAČUN FINANCIRANJA</w:t>
      </w:r>
    </w:p>
    <w:p>
      <w:pPr>
        <w:spacing w:line="360"/>
        <w:jc w:val="left"/>
      </w:pPr>
      <w:r>
        <w:rPr>
          <w:b/>
          <w:u w:val="single"/>
          <w:sz w:val="24"/>
          <w:rFonts w:ascii="Times New Roman" w:hAnsi="Times New Roman" w:cs="Times New Roman"/>
        </w:rPr>
        <w:t xml:space="preserve">Račun prihoda i rashoda</w:t>
      </w:r>
    </w:p>
    <w:tbl>
      <w:tblPr>
        <w:tblW w:w="4850" w:type="pct"/>
        <w:tblBorders>
          <w:top w:val="single" w:sz="5"/>
          <w:bottom w:val="single" w:sz="5"/>
          <w:left w:val="single" w:sz="5"/>
          <w:right w:val="single" w:sz="5"/>
          <w:insideH w:val="single" w:sz="5"/>
          <w:insideV w:val="single" w:sz="5"/>
        </w:tblBorders>
        <w:tblCellMar>
          <w:top w:w="0" w:type="dxa"/>
          <w:start w:w="100" w:type="dxa"/>
          <w:bottom w:w="0" w:type="dxa"/>
          <w:end w:w="100" w:type="dxa"/>
        </w:tblCellMar>
      </w:tblPr>
      <w:tr>
        <w:tc>
          <w:tcPr>
            <w:tcW w:w="2500" w:type="pct"/>
            <w:vAlign w:val="center"/>
            <w:shd w:val="clear" w:color="auto" w:fill="#bcdffb"/>
          </w:tcPr>
          <w:p>
            <w:pPr>
              <w:spacing w:after="0" w:line="240"/>
              <w:jc w:val="center"/>
            </w:pPr>
            <w:r>
              <w:rPr>
                <w:b/>
                <w:sz w:val="18"/>
                <w:rFonts w:ascii="Times New Roman" w:hAnsi="Times New Roman" w:cs="Times New Roman"/>
              </w:rPr>
              <w:t>BROJČANA OZNAKA I NAZIV</w:t>
            </w:r>
          </w:p>
        </w:tc>
        <w:tc>
          <w:tcPr>
            <w:tcW w:w="1000" w:type="pct"/>
            <w:vAlign w:val="center"/>
            <w:shd w:val="clear" w:color="auto" w:fill="#bcdffb"/>
          </w:tcPr>
          <w:p>
            <w:pPr>
              <w:spacing w:after="0" w:line="240"/>
              <w:jc w:val="center"/>
            </w:pPr>
            <w:r>
              <w:rPr>
                <w:b/>
                <w:sz w:val="18"/>
                <w:rFonts w:ascii="Times New Roman" w:hAnsi="Times New Roman" w:cs="Times New Roman"/>
              </w:rPr>
              <w:t>PLAN</w:t>
              <w:br/>
              <w:t>2025.</w:t>
            </w:r>
          </w:p>
        </w:tc>
        <w:tc>
          <w:tcPr>
            <w:tcW w:w="1000" w:type="pct"/>
            <w:vAlign w:val="center"/>
            <w:shd w:val="clear" w:color="auto" w:fill="#bcdffb"/>
          </w:tcPr>
          <w:p>
            <w:pPr>
              <w:spacing w:after="0" w:line="240"/>
              <w:jc w:val="center"/>
            </w:pPr>
            <w:r>
              <w:rPr>
                <w:b/>
                <w:sz w:val="18"/>
                <w:rFonts w:ascii="Times New Roman" w:hAnsi="Times New Roman" w:cs="Times New Roman"/>
              </w:rPr>
              <w:t>OSTVARENJE/</w:t>
              <w:br/>
              <w:t>IZVRŠENJE 1.-6. 2025.</w:t>
            </w:r>
          </w:p>
        </w:tc>
        <w:tc>
          <w:tcPr>
            <w:tcW w:w="800" w:type="pct"/>
            <w:vAlign w:val="center"/>
            <w:shd w:val="clear" w:color="auto" w:fill="#bcdffb"/>
          </w:tcPr>
          <w:p>
            <w:pPr>
              <w:spacing w:after="0" w:line="240"/>
              <w:jc w:val="center"/>
            </w:pPr>
            <w:r>
              <w:rPr>
                <w:b/>
                <w:sz w:val="18"/>
                <w:rFonts w:ascii="Times New Roman" w:hAnsi="Times New Roman" w:cs="Times New Roman"/>
              </w:rPr>
              <w:t>INDEKS</w:t>
            </w:r>
          </w:p>
        </w:tc>
      </w:tr>
      <w:tr>
        <w:tc>
          <w:tcPr>
            <w:tcW w:w="2500" w:type="pct"/>
            <w:vAlign w:val="center"/>
            <w:shd w:val="clear" w:color="auto" w:fill="#bcdffb"/>
          </w:tcPr>
          <w:p>
            <w:pPr>
              <w:spacing w:after="0" w:line="240"/>
              <w:jc w:val="center"/>
            </w:pPr>
            <w:r>
              <w:rPr>
                <w:sz w:val="14"/>
                <w:rFonts w:ascii="Times New Roman" w:hAnsi="Times New Roman" w:cs="Times New Roman"/>
              </w:rPr>
              <w:t>1</w:t>
            </w:r>
          </w:p>
        </w:tc>
        <w:tc>
          <w:tcPr>
            <w:tcW w:w="1000" w:type="pct"/>
            <w:vAlign w:val="center"/>
            <w:shd w:val="clear" w:color="auto" w:fill="#bcdffb"/>
          </w:tcPr>
          <w:p>
            <w:pPr>
              <w:spacing w:after="0" w:line="240"/>
              <w:jc w:val="center"/>
            </w:pPr>
            <w:r>
              <w:rPr>
                <w:sz w:val="14"/>
                <w:rFonts w:ascii="Times New Roman" w:hAnsi="Times New Roman" w:cs="Times New Roman"/>
              </w:rPr>
              <w:t>2</w:t>
            </w:r>
          </w:p>
        </w:tc>
        <w:tc>
          <w:tcPr>
            <w:tcW w:w="1000" w:type="pct"/>
            <w:vAlign w:val="center"/>
            <w:shd w:val="clear" w:color="auto" w:fill="#bcdffb"/>
          </w:tcPr>
          <w:p>
            <w:pPr>
              <w:spacing w:after="0" w:line="240"/>
              <w:jc w:val="center"/>
            </w:pPr>
            <w:r>
              <w:rPr>
                <w:sz w:val="14"/>
                <w:rFonts w:ascii="Times New Roman" w:hAnsi="Times New Roman" w:cs="Times New Roman"/>
              </w:rPr>
              <w:t>3</w:t>
            </w:r>
          </w:p>
        </w:tc>
        <w:tc>
          <w:tcPr>
            <w:tcW w:w="800" w:type="pct"/>
            <w:vAlign w:val="center"/>
            <w:shd w:val="clear" w:color="auto" w:fill="#bcdffb"/>
          </w:tcPr>
          <w:p>
            <w:pPr>
              <w:spacing w:after="0" w:line="240"/>
              <w:jc w:val="center"/>
            </w:pPr>
            <w:r>
              <w:rPr>
                <w:sz w:val="14"/>
                <w:rFonts w:ascii="Times New Roman" w:hAnsi="Times New Roman" w:cs="Times New Roman"/>
              </w:rPr>
              <w:t>4=3/2</w:t>
            </w:r>
          </w:p>
        </w:tc>
      </w:tr>
      <w:tr>
        <w:tc>
          <w:tcPr>
            <w:tcW w:w="2500" w:type="pct"/>
            <w:vAlign w:val="center"/>
          </w:tcPr>
          <w:p>
            <w:pPr>
              <w:spacing w:after="0" w:line="240"/>
              <w:jc w:val="left"/>
            </w:pPr>
            <w:r>
              <w:rPr>
                <w:sz w:val="18"/>
                <w:rFonts w:ascii="Times New Roman" w:hAnsi="Times New Roman" w:cs="Times New Roman"/>
              </w:rPr>
              <w:t>UKUPNI PRIHODI</w:t>
            </w:r>
          </w:p>
        </w:tc>
        <w:tc>
          <w:tcPr>
            <w:tcW w:w="1000" w:type="pct"/>
            <w:vAlign w:val="bottom"/>
          </w:tcPr>
          <w:p>
            <w:pPr>
              <w:spacing w:after="0" w:line="240"/>
              <w:jc w:val="right"/>
            </w:pPr>
            <w:r>
              <w:rPr>
                <w:sz w:val="18"/>
                <w:rFonts w:ascii="Times New Roman" w:hAnsi="Times New Roman" w:cs="Times New Roman"/>
              </w:rPr>
              <w:t>991.807.865</w:t>
            </w:r>
          </w:p>
        </w:tc>
        <w:tc>
          <w:tcPr>
            <w:tcW w:w="1000" w:type="pct"/>
            <w:vAlign w:val="bottom"/>
          </w:tcPr>
          <w:p>
            <w:pPr>
              <w:spacing w:after="0" w:line="240"/>
              <w:jc w:val="right"/>
            </w:pPr>
            <w:r>
              <w:rPr>
                <w:sz w:val="18"/>
                <w:rFonts w:ascii="Times New Roman" w:hAnsi="Times New Roman" w:cs="Times New Roman"/>
              </w:rPr>
              <w:t>316.725.086</w:t>
            </w:r>
          </w:p>
        </w:tc>
        <w:tc>
          <w:tcPr>
            <w:tcW w:w="800" w:type="pct"/>
            <w:vAlign w:val="bottom"/>
          </w:tcPr>
          <w:p>
            <w:pPr>
              <w:spacing w:after="0" w:line="240"/>
              <w:jc w:val="right"/>
            </w:pPr>
            <w:r>
              <w:rPr>
                <w:sz w:val="18"/>
                <w:rFonts w:ascii="Times New Roman" w:hAnsi="Times New Roman" w:cs="Times New Roman"/>
              </w:rPr>
              <w:t>31,9</w:t>
            </w:r>
          </w:p>
        </w:tc>
      </w:tr>
      <w:tr>
        <w:tc>
          <w:tcPr>
            <w:tcW w:w="2500" w:type="pct"/>
            <w:vAlign w:val="bottom"/>
          </w:tcPr>
          <w:p>
            <w:pPr>
              <w:spacing w:after="0" w:line="240"/>
              <w:jc w:val="left"/>
            </w:pPr>
            <w:r>
              <w:rPr>
                <w:sz w:val="18"/>
                <w:rFonts w:ascii="Times New Roman" w:hAnsi="Times New Roman" w:cs="Times New Roman"/>
              </w:rPr>
              <w:t>UKUPNI RASHODI</w:t>
            </w:r>
          </w:p>
        </w:tc>
        <w:tc>
          <w:tcPr>
            <w:tcW w:w="1000" w:type="pct"/>
            <w:vAlign w:val="bottom"/>
          </w:tcPr>
          <w:p>
            <w:pPr>
              <w:spacing w:after="0" w:line="240"/>
              <w:jc w:val="right"/>
            </w:pPr>
            <w:r>
              <w:rPr>
                <w:sz w:val="18"/>
                <w:rFonts w:ascii="Times New Roman" w:hAnsi="Times New Roman" w:cs="Times New Roman"/>
              </w:rPr>
              <w:t>1.075.862.851</w:t>
            </w:r>
          </w:p>
        </w:tc>
        <w:tc>
          <w:tcPr>
            <w:tcW w:w="1000" w:type="pct"/>
            <w:vAlign w:val="bottom"/>
          </w:tcPr>
          <w:p>
            <w:pPr>
              <w:spacing w:after="0" w:line="240"/>
              <w:jc w:val="right"/>
            </w:pPr>
            <w:r>
              <w:rPr>
                <w:sz w:val="18"/>
                <w:rFonts w:ascii="Times New Roman" w:hAnsi="Times New Roman" w:cs="Times New Roman"/>
              </w:rPr>
              <w:t>336.827.930</w:t>
            </w:r>
          </w:p>
        </w:tc>
        <w:tc>
          <w:tcPr>
            <w:tcW w:w="800" w:type="pct"/>
            <w:vAlign w:val="bottom"/>
          </w:tcPr>
          <w:p>
            <w:pPr>
              <w:spacing w:after="0" w:line="240"/>
              <w:jc w:val="right"/>
            </w:pPr>
            <w:r>
              <w:rPr>
                <w:sz w:val="18"/>
                <w:rFonts w:ascii="Times New Roman" w:hAnsi="Times New Roman" w:cs="Times New Roman"/>
              </w:rPr>
              <w:t>31,3</w:t>
            </w:r>
          </w:p>
        </w:tc>
      </w:tr>
      <w:tr>
        <w:tc>
          <w:tcPr>
            <w:tcW w:w="2500" w:type="pct"/>
            <w:vAlign w:val="bottom"/>
          </w:tcPr>
          <w:p>
            <w:pPr>
              <w:spacing w:after="0" w:line="240"/>
              <w:jc w:val="left"/>
            </w:pPr>
            <w:r>
              <w:rPr>
                <w:b/>
                <w:sz w:val="18"/>
                <w:rFonts w:ascii="Times New Roman" w:hAnsi="Times New Roman" w:cs="Times New Roman"/>
              </w:rPr>
              <w:t>RAZLIKA - VIŠAK/MANJAK</w:t>
            </w:r>
          </w:p>
        </w:tc>
        <w:tc>
          <w:tcPr>
            <w:tcW w:w="1000" w:type="pct"/>
            <w:vAlign w:val="bottom"/>
          </w:tcPr>
          <w:p>
            <w:pPr>
              <w:spacing w:after="0" w:line="240"/>
              <w:jc w:val="right"/>
            </w:pPr>
            <w:r>
              <w:rPr>
                <w:b/>
                <w:sz w:val="18"/>
                <w:rFonts w:ascii="Times New Roman" w:hAnsi="Times New Roman" w:cs="Times New Roman"/>
              </w:rPr>
              <w:t>-84.054.986</w:t>
            </w:r>
          </w:p>
        </w:tc>
        <w:tc>
          <w:tcPr>
            <w:tcW w:w="800" w:type="pct"/>
            <w:vAlign w:val="bottom"/>
          </w:tcPr>
          <w:p>
            <w:pPr>
              <w:spacing w:after="0" w:line="240"/>
              <w:jc w:val="right"/>
            </w:pPr>
            <w:r>
              <w:rPr>
                <w:b/>
                <w:sz w:val="18"/>
                <w:rFonts w:ascii="Times New Roman" w:hAnsi="Times New Roman" w:cs="Times New Roman"/>
              </w:rPr>
              <w:t>-20.102.844</w:t>
            </w:r>
          </w:p>
        </w:tc>
        <w:tc>
          <w:tcPr>
            <w:tcW w:w="800" w:type="pct"/>
            <w:vAlign w:val="bottom"/>
          </w:tcPr>
          <w:p>
            <w:pPr>
              <w:spacing w:after="0" w:line="240"/>
              <w:jc w:val="right"/>
            </w:pPr>
            <w:r>
              <w:rPr>
                <w:b/>
                <w:sz w:val="18"/>
                <w:rFonts w:ascii="Times New Roman" w:hAnsi="Times New Roman" w:cs="Times New Roman"/>
              </w:rPr>
              <w:t>23,9</w:t>
            </w:r>
          </w:p>
        </w:tc>
      </w:tr>
    </w:tbl>
    <w:p>
      <w:pPr>
        <w:spacing w:after="0" w:line="240"/>
      </w:pPr>
    </w:p>
    <w:p>
      <w:pPr>
        <w:spacing w:line="360"/>
        <w:jc w:val="left"/>
      </w:pPr>
      <w:r>
        <w:rPr>
          <w:b/>
          <w:u w:val="single"/>
          <w:sz w:val="24"/>
          <w:rFonts w:ascii="Times New Roman" w:hAnsi="Times New Roman" w:cs="Times New Roman"/>
        </w:rPr>
        <w:t xml:space="preserve">Račun financiranja</w:t>
      </w:r>
    </w:p>
    <w:tbl>
      <w:tblPr>
        <w:tblW w:w="4850" w:type="pct"/>
        <w:tblBorders>
          <w:top w:val="single" w:sz="5"/>
          <w:bottom w:val="single" w:sz="5"/>
          <w:left w:val="single" w:sz="5"/>
          <w:right w:val="single" w:sz="5"/>
          <w:insideH w:val="single" w:sz="5"/>
          <w:insideV w:val="single" w:sz="5"/>
        </w:tblBorders>
        <w:tblCellMar>
          <w:top w:w="0" w:type="dxa"/>
          <w:start w:w="100" w:type="dxa"/>
          <w:bottom w:w="0" w:type="dxa"/>
          <w:end w:w="100" w:type="dxa"/>
        </w:tblCellMar>
      </w:tblPr>
      <w:tr>
        <w:tc>
          <w:tcPr>
            <w:tcW w:w="2500" w:type="pct"/>
            <w:vAlign w:val="center"/>
            <w:shd w:val="clear" w:color="auto" w:fill="#bcdffb"/>
          </w:tcPr>
          <w:p>
            <w:pPr>
              <w:spacing w:after="0" w:line="240"/>
              <w:jc w:val="center"/>
            </w:pPr>
            <w:r>
              <w:rPr>
                <w:b/>
                <w:sz w:val="18"/>
                <w:rFonts w:ascii="Times New Roman" w:hAnsi="Times New Roman" w:cs="Times New Roman"/>
              </w:rPr>
              <w:t>BROJČANA OZNAKA I NAZIV</w:t>
            </w:r>
          </w:p>
        </w:tc>
        <w:tc>
          <w:tcPr>
            <w:tcW w:w="1000" w:type="pct"/>
            <w:vAlign w:val="center"/>
            <w:shd w:val="clear" w:color="auto" w:fill="#bcdffb"/>
          </w:tcPr>
          <w:p>
            <w:pPr>
              <w:spacing w:after="0" w:line="240"/>
              <w:jc w:val="center"/>
            </w:pPr>
            <w:r>
              <w:rPr>
                <w:b/>
                <w:sz w:val="18"/>
                <w:rFonts w:ascii="Times New Roman" w:hAnsi="Times New Roman" w:cs="Times New Roman"/>
              </w:rPr>
              <w:t>PLAN</w:t>
              <w:br/>
              <w:t>2025.</w:t>
            </w:r>
          </w:p>
        </w:tc>
        <w:tc>
          <w:tcPr>
            <w:tcW w:w="1000" w:type="pct"/>
            <w:vAlign w:val="center"/>
            <w:shd w:val="clear" w:color="auto" w:fill="#bcdffb"/>
          </w:tcPr>
          <w:p>
            <w:pPr>
              <w:spacing w:after="0" w:line="240"/>
              <w:jc w:val="center"/>
            </w:pPr>
            <w:r>
              <w:rPr>
                <w:b/>
                <w:sz w:val="18"/>
                <w:rFonts w:ascii="Times New Roman" w:hAnsi="Times New Roman" w:cs="Times New Roman"/>
              </w:rPr>
              <w:t>OSTVARENJE/</w:t>
              <w:br/>
              <w:t>IZVRŠENJE 1.-6. 2025.</w:t>
            </w:r>
          </w:p>
        </w:tc>
        <w:tc>
          <w:tcPr>
            <w:tcW w:w="800" w:type="pct"/>
            <w:vAlign w:val="center"/>
            <w:shd w:val="clear" w:color="auto" w:fill="#bcdffb"/>
          </w:tcPr>
          <w:p>
            <w:pPr>
              <w:spacing w:after="0" w:line="240"/>
              <w:jc w:val="center"/>
            </w:pPr>
            <w:r>
              <w:rPr>
                <w:b/>
                <w:sz w:val="18"/>
                <w:rFonts w:ascii="Times New Roman" w:hAnsi="Times New Roman" w:cs="Times New Roman"/>
              </w:rPr>
              <w:t>INDEKS</w:t>
            </w:r>
          </w:p>
        </w:tc>
      </w:tr>
      <w:tr>
        <w:tc>
          <w:tcPr>
            <w:tcW w:w="2500" w:type="pct"/>
            <w:vAlign w:val="center"/>
            <w:shd w:val="clear" w:color="auto" w:fill="#bcdffb"/>
          </w:tcPr>
          <w:p>
            <w:pPr>
              <w:spacing w:after="0" w:line="240"/>
              <w:jc w:val="center"/>
            </w:pPr>
            <w:r>
              <w:rPr>
                <w:sz w:val="14"/>
                <w:rFonts w:ascii="Times New Roman" w:hAnsi="Times New Roman" w:cs="Times New Roman"/>
              </w:rPr>
              <w:t>1</w:t>
            </w:r>
          </w:p>
        </w:tc>
        <w:tc>
          <w:tcPr>
            <w:tcW w:w="1000" w:type="pct"/>
            <w:vAlign w:val="center"/>
            <w:shd w:val="clear" w:color="auto" w:fill="#bcdffb"/>
          </w:tcPr>
          <w:p>
            <w:pPr>
              <w:spacing w:after="0" w:line="240"/>
              <w:jc w:val="center"/>
            </w:pPr>
            <w:r>
              <w:rPr>
                <w:sz w:val="14"/>
                <w:rFonts w:ascii="Times New Roman" w:hAnsi="Times New Roman" w:cs="Times New Roman"/>
              </w:rPr>
              <w:t>2</w:t>
            </w:r>
          </w:p>
        </w:tc>
        <w:tc>
          <w:tcPr>
            <w:tcW w:w="1000" w:type="pct"/>
            <w:vAlign w:val="center"/>
            <w:shd w:val="clear" w:color="auto" w:fill="#bcdffb"/>
          </w:tcPr>
          <w:p>
            <w:pPr>
              <w:spacing w:after="0" w:line="240"/>
              <w:jc w:val="center"/>
            </w:pPr>
            <w:r>
              <w:rPr>
                <w:sz w:val="14"/>
                <w:rFonts w:ascii="Times New Roman" w:hAnsi="Times New Roman" w:cs="Times New Roman"/>
              </w:rPr>
              <w:t>3</w:t>
            </w:r>
          </w:p>
        </w:tc>
        <w:tc>
          <w:tcPr>
            <w:tcW w:w="800" w:type="pct"/>
            <w:vAlign w:val="center"/>
            <w:shd w:val="clear" w:color="auto" w:fill="#bcdffb"/>
          </w:tcPr>
          <w:p>
            <w:pPr>
              <w:spacing w:after="0" w:line="240"/>
              <w:jc w:val="center"/>
            </w:pPr>
            <w:r>
              <w:rPr>
                <w:sz w:val="14"/>
                <w:rFonts w:ascii="Times New Roman" w:hAnsi="Times New Roman" w:cs="Times New Roman"/>
              </w:rPr>
              <w:t>4=3/2</w:t>
            </w:r>
          </w:p>
        </w:tc>
      </w:tr>
      <w:tr>
        <w:tc>
          <w:tcPr>
            <w:tcW w:w="2500" w:type="pct"/>
            <w:vAlign w:val="center"/>
          </w:tcPr>
          <w:p>
            <w:pPr>
              <w:spacing w:after="0" w:line="240"/>
              <w:jc w:val="left"/>
            </w:pPr>
            <w:r>
              <w:rPr>
                <w:sz w:val="18"/>
                <w:rFonts w:ascii="Times New Roman" w:hAnsi="Times New Roman" w:cs="Times New Roman"/>
              </w:rPr>
              <w:t>8 PRIMICI OD FINANCIJSKE IMOVINE I ZADUŽIVANJA</w:t>
            </w:r>
          </w:p>
        </w:tc>
        <w:tc>
          <w:tcPr>
            <w:tcW w:w="1000" w:type="pct"/>
            <w:vAlign w:val="bottom"/>
          </w:tcPr>
          <w:p>
            <w:pPr>
              <w:spacing w:after="0" w:line="240"/>
              <w:jc w:val="right"/>
            </w:pPr>
            <w:r>
              <w:rPr>
                <w:sz w:val="18"/>
                <w:rFonts w:ascii="Times New Roman" w:hAnsi="Times New Roman" w:cs="Times New Roman"/>
              </w:rPr>
              <w:t>113.493.318</w:t>
            </w:r>
          </w:p>
        </w:tc>
        <w:tc>
          <w:tcPr>
            <w:tcW w:w="1000" w:type="pct"/>
            <w:vAlign w:val="bottom"/>
          </w:tcPr>
          <w:p>
            <w:pPr>
              <w:spacing w:after="0" w:line="240"/>
              <w:jc w:val="right"/>
            </w:pPr>
            <w:r>
              <w:rPr>
                <w:sz w:val="18"/>
                <w:rFonts w:ascii="Times New Roman" w:hAnsi="Times New Roman" w:cs="Times New Roman"/>
              </w:rPr>
              <w:t>50.000.000</w:t>
            </w:r>
          </w:p>
        </w:tc>
        <w:tc>
          <w:tcPr>
            <w:tcW w:w="800" w:type="pct"/>
            <w:vAlign w:val="bottom"/>
          </w:tcPr>
          <w:p>
            <w:pPr>
              <w:spacing w:after="0" w:line="240"/>
              <w:jc w:val="right"/>
            </w:pPr>
            <w:r>
              <w:rPr>
                <w:sz w:val="18"/>
                <w:rFonts w:ascii="Times New Roman" w:hAnsi="Times New Roman" w:cs="Times New Roman"/>
              </w:rPr>
              <w:t>44,1</w:t>
            </w:r>
          </w:p>
        </w:tc>
      </w:tr>
      <w:tr>
        <w:tc>
          <w:tcPr>
            <w:tcW w:w="2500" w:type="pct"/>
            <w:vAlign w:val="bottom"/>
          </w:tcPr>
          <w:p>
            <w:pPr>
              <w:spacing w:after="0" w:line="240"/>
              <w:jc w:val="left"/>
            </w:pPr>
            <w:r>
              <w:rPr>
                <w:sz w:val="18"/>
                <w:rFonts w:ascii="Times New Roman" w:hAnsi="Times New Roman" w:cs="Times New Roman"/>
              </w:rPr>
              <w:t>5 IZDACI ZA FINANCIJSKU IMOVINU I OTPLATE ZAJMOVA</w:t>
            </w:r>
          </w:p>
        </w:tc>
        <w:tc>
          <w:tcPr>
            <w:tcW w:w="1000" w:type="pct"/>
            <w:vAlign w:val="bottom"/>
          </w:tcPr>
          <w:p>
            <w:pPr>
              <w:spacing w:after="0" w:line="240"/>
              <w:jc w:val="right"/>
            </w:pPr>
            <w:r>
              <w:rPr>
                <w:sz w:val="18"/>
                <w:rFonts w:ascii="Times New Roman" w:hAnsi="Times New Roman" w:cs="Times New Roman"/>
              </w:rPr>
              <w:t>29.438.332</w:t>
            </w:r>
          </w:p>
        </w:tc>
        <w:tc>
          <w:tcPr>
            <w:tcW w:w="1000" w:type="pct"/>
            <w:vAlign w:val="bottom"/>
          </w:tcPr>
          <w:p>
            <w:pPr>
              <w:spacing w:after="0" w:line="240"/>
              <w:jc w:val="right"/>
            </w:pPr>
            <w:r>
              <w:rPr>
                <w:sz w:val="18"/>
                <w:rFonts w:ascii="Times New Roman" w:hAnsi="Times New Roman" w:cs="Times New Roman"/>
              </w:rPr>
              <w:t>14.369.166</w:t>
            </w:r>
          </w:p>
        </w:tc>
        <w:tc>
          <w:tcPr>
            <w:tcW w:w="800" w:type="pct"/>
            <w:vAlign w:val="bottom"/>
          </w:tcPr>
          <w:p>
            <w:pPr>
              <w:spacing w:after="0" w:line="240"/>
              <w:jc w:val="right"/>
            </w:pPr>
            <w:r>
              <w:rPr>
                <w:sz w:val="18"/>
                <w:rFonts w:ascii="Times New Roman" w:hAnsi="Times New Roman" w:cs="Times New Roman"/>
              </w:rPr>
              <w:t>48,8</w:t>
            </w:r>
          </w:p>
        </w:tc>
      </w:tr>
      <w:tr>
        <w:tc>
          <w:tcPr>
            <w:tcW w:w="2500" w:type="pct"/>
            <w:vAlign w:val="bottom"/>
          </w:tcPr>
          <w:p>
            <w:pPr>
              <w:spacing w:after="0" w:line="240"/>
              <w:jc w:val="left"/>
            </w:pPr>
            <w:r>
              <w:rPr>
                <w:b/>
                <w:sz w:val="18"/>
                <w:rFonts w:ascii="Times New Roman" w:hAnsi="Times New Roman" w:cs="Times New Roman"/>
              </w:rPr>
              <w:t>RAZLIKA PRIMITAKA I IZDATAKA</w:t>
            </w:r>
          </w:p>
        </w:tc>
        <w:tc>
          <w:tcPr>
            <w:tcW w:w="1000" w:type="pct"/>
            <w:vAlign w:val="bottom"/>
          </w:tcPr>
          <w:p>
            <w:pPr>
              <w:spacing w:after="0" w:line="240"/>
              <w:jc w:val="right"/>
            </w:pPr>
            <w:r>
              <w:rPr>
                <w:b/>
                <w:sz w:val="18"/>
                <w:rFonts w:ascii="Times New Roman" w:hAnsi="Times New Roman" w:cs="Times New Roman"/>
              </w:rPr>
              <w:t>84.054.986</w:t>
            </w:r>
          </w:p>
        </w:tc>
        <w:tc>
          <w:tcPr>
            <w:tcW w:w="1000" w:type="pct"/>
            <w:vAlign w:val="bottom"/>
          </w:tcPr>
          <w:p>
            <w:pPr>
              <w:spacing w:after="0" w:line="240"/>
              <w:jc w:val="right"/>
            </w:pPr>
            <w:r>
              <w:rPr>
                <w:b/>
                <w:sz w:val="18"/>
                <w:rFonts w:ascii="Times New Roman" w:hAnsi="Times New Roman" w:cs="Times New Roman"/>
              </w:rPr>
              <w:t>35.630.834</w:t>
            </w:r>
          </w:p>
        </w:tc>
        <w:tc>
          <w:tcPr>
            <w:tcW w:w="800" w:type="pct"/>
            <w:vAlign w:val="bottom"/>
          </w:tcPr>
          <w:p>
            <w:pPr>
              <w:spacing w:after="0" w:line="240"/>
              <w:jc w:val="right"/>
            </w:pPr>
            <w:r>
              <w:rPr>
                <w:b/>
                <w:sz w:val="18"/>
                <w:rFonts w:ascii="Times New Roman" w:hAnsi="Times New Roman" w:cs="Times New Roman"/>
              </w:rPr>
              <w:t>42,4</w:t>
            </w:r>
          </w:p>
        </w:tc>
      </w:tr>
      <w:tr>
        <w:tc>
          <w:tcPr>
            <w:tcW w:w="2500" w:type="pct"/>
            <w:vAlign w:val="bottom"/>
          </w:tcPr>
          <w:p>
            <w:pPr>
              <w:spacing w:after="0" w:line="240"/>
              <w:jc w:val="left"/>
            </w:pPr>
            <w:r>
              <w:rPr>
                <w:sz w:val="18"/>
                <w:rFonts w:ascii="Times New Roman" w:hAnsi="Times New Roman" w:cs="Times New Roman"/>
              </w:rPr>
              <w:t>PRIJENOS SREDSTAVA IZ PRETHODNE GODINE</w:t>
            </w:r>
          </w:p>
        </w:tc>
        <w:tc>
          <w:tcPr>
            <w:tcW w:w="1000" w:type="pct"/>
            <w:vAlign w:val="bottom"/>
          </w:tcPr>
          <w:p>
            <w:pPr>
              <w:spacing w:after="0" w:line="240"/>
              <w:jc w:val="right"/>
            </w:pPr>
            <w:r>
              <w:rPr>
                <w:sz w:val="18"/>
                <w:rFonts w:ascii="Times New Roman" w:hAnsi="Times New Roman" w:cs="Times New Roman"/>
              </w:rPr>
              <w:t>0</w:t>
            </w:r>
          </w:p>
        </w:tc>
        <w:tc>
          <w:tcPr>
            <w:tcW w:w="800" w:type="pct"/>
            <w:vAlign w:val="bottom"/>
          </w:tcPr>
          <w:p>
            <w:pPr>
              <w:spacing w:after="0" w:line="240"/>
              <w:jc w:val="right"/>
            </w:pPr>
            <w:r>
              <w:rPr>
                <w:sz w:val="18"/>
                <w:rFonts w:ascii="Times New Roman" w:hAnsi="Times New Roman" w:cs="Times New Roman"/>
              </w:rPr>
              <w:t>8.319.770</w:t>
            </w:r>
          </w:p>
        </w:tc>
        <w:tc>
          <w:tcPr>
            <w:tcW w:w="800" w:type="pct"/>
            <w:vAlign w:val="bottom"/>
          </w:tcPr>
          <w:p>
            <w:pPr>
              <w:spacing w:after="0" w:line="240"/>
              <w:jc w:val="right"/>
            </w:pPr>
            <w:r>
              <w:rPr>
                <w:sz w:val="18"/>
                <w:rFonts w:ascii="Times New Roman" w:hAnsi="Times New Roman" w:cs="Times New Roman"/>
              </w:rPr>
              <w:t/>
            </w:r>
          </w:p>
        </w:tc>
      </w:tr>
      <w:tr>
        <w:tc>
          <w:tcPr>
            <w:tcW w:w="2500" w:type="pct"/>
            <w:vAlign w:val="bottom"/>
          </w:tcPr>
          <w:p>
            <w:pPr>
              <w:spacing w:after="0" w:line="240"/>
              <w:jc w:val="left"/>
            </w:pPr>
            <w:r>
              <w:rPr>
                <w:sz w:val="18"/>
                <w:rFonts w:ascii="Times New Roman" w:hAnsi="Times New Roman" w:cs="Times New Roman"/>
              </w:rPr>
              <w:t>PRIJENOS SREDSTAVA U SLJEDEĆE RAZDOBLJE</w:t>
            </w:r>
          </w:p>
        </w:tc>
        <w:tc>
          <w:tcPr>
            <w:tcW w:w="1000" w:type="pct"/>
            <w:vAlign w:val="bottom"/>
          </w:tcPr>
          <w:p>
            <w:pPr>
              <w:spacing w:after="0" w:line="240"/>
              <w:jc w:val="right"/>
            </w:pPr>
            <w:r>
              <w:rPr>
                <w:sz w:val="18"/>
                <w:rFonts w:ascii="Times New Roman" w:hAnsi="Times New Roman" w:cs="Times New Roman"/>
              </w:rPr>
              <w:t>0</w:t>
            </w:r>
          </w:p>
        </w:tc>
        <w:tc>
          <w:tcPr>
            <w:tcW w:w="800" w:type="pct"/>
            <w:vAlign w:val="bottom"/>
          </w:tcPr>
          <w:p>
            <w:pPr>
              <w:spacing w:after="0" w:line="240"/>
              <w:jc w:val="right"/>
            </w:pPr>
            <w:r>
              <w:rPr>
                <w:sz w:val="18"/>
                <w:rFonts w:ascii="Times New Roman" w:hAnsi="Times New Roman" w:cs="Times New Roman"/>
              </w:rPr>
              <w:t>-23.847.760</w:t>
            </w:r>
          </w:p>
        </w:tc>
        <w:tc>
          <w:tcPr>
            <w:tcW w:w="800" w:type="pct"/>
            <w:vAlign w:val="bottom"/>
          </w:tcPr>
          <w:p>
            <w:pPr>
              <w:spacing w:after="0" w:line="240"/>
              <w:jc w:val="right"/>
            </w:pPr>
            <w:r>
              <w:rPr>
                <w:sz w:val="18"/>
                <w:rFonts w:ascii="Times New Roman" w:hAnsi="Times New Roman" w:cs="Times New Roman"/>
              </w:rPr>
              <w:t/>
            </w:r>
          </w:p>
        </w:tc>
      </w:tr>
      <w:tr>
        <w:tc>
          <w:tcPr>
            <w:tcW w:w="2500" w:type="pct"/>
            <w:vAlign w:val="bottom"/>
          </w:tcPr>
          <w:p>
            <w:pPr>
              <w:spacing w:after="0" w:line="240"/>
              <w:jc w:val="left"/>
            </w:pPr>
            <w:r>
              <w:rPr>
                <w:sz w:val="18"/>
                <w:rFonts w:ascii="Times New Roman" w:hAnsi="Times New Roman" w:cs="Times New Roman"/>
              </w:rPr>
              <w:t>NETO FINANCIRANJE</w:t>
            </w:r>
          </w:p>
        </w:tc>
        <w:tc>
          <w:tcPr>
            <w:tcW w:w="1000" w:type="pct"/>
            <w:vAlign w:val="bottom"/>
          </w:tcPr>
          <w:p>
            <w:pPr>
              <w:spacing w:after="0" w:line="240"/>
              <w:jc w:val="right"/>
            </w:pPr>
            <w:r>
              <w:rPr>
                <w:sz w:val="18"/>
                <w:rFonts w:ascii="Times New Roman" w:hAnsi="Times New Roman" w:cs="Times New Roman"/>
              </w:rPr>
              <w:t>84.054.986</w:t>
            </w:r>
          </w:p>
        </w:tc>
        <w:tc>
          <w:tcPr>
            <w:tcW w:w="800" w:type="pct"/>
            <w:vAlign w:val="bottom"/>
          </w:tcPr>
          <w:p>
            <w:pPr>
              <w:spacing w:after="0" w:line="240"/>
              <w:jc w:val="right"/>
            </w:pPr>
            <w:r>
              <w:rPr>
                <w:sz w:val="18"/>
                <w:rFonts w:ascii="Times New Roman" w:hAnsi="Times New Roman" w:cs="Times New Roman"/>
              </w:rPr>
              <w:t>20.102.844</w:t>
            </w:r>
          </w:p>
        </w:tc>
        <w:tc>
          <w:tcPr>
            <w:tcW w:w="800" w:type="pct"/>
            <w:vAlign w:val="bottom"/>
          </w:tcPr>
          <w:p>
            <w:pPr>
              <w:spacing w:after="0" w:line="240"/>
              <w:jc w:val="right"/>
            </w:pPr>
            <w:r>
              <w:rPr>
                <w:sz w:val="18"/>
                <w:rFonts w:ascii="Times New Roman" w:hAnsi="Times New Roman" w:cs="Times New Roman"/>
              </w:rPr>
              <w:t>23,9</w:t>
            </w:r>
          </w:p>
        </w:tc>
      </w:tr>
      <w:tr>
        <w:tc>
          <w:tcPr>
            <w:tcW w:w="2500" w:type="pct"/>
            <w:vAlign w:val="bottom"/>
          </w:tcPr>
          <w:p>
            <w:pPr>
              <w:spacing w:after="0" w:line="240"/>
              <w:jc w:val="left"/>
            </w:pPr>
            <w:r>
              <w:rPr>
                <w:b/>
                <w:sz w:val="18"/>
                <w:rFonts w:ascii="Times New Roman" w:hAnsi="Times New Roman" w:cs="Times New Roman"/>
              </w:rPr>
              <w:t>VIŠAK/MANJAK + NETO FINANCIRANJE</w:t>
            </w:r>
          </w:p>
        </w:tc>
        <w:tc>
          <w:tcPr>
            <w:tcW w:w="1000" w:type="pct"/>
            <w:vAlign w:val="bottom"/>
          </w:tcPr>
          <w:p>
            <w:pPr>
              <w:spacing w:after="0" w:line="240"/>
              <w:jc w:val="right"/>
            </w:pPr>
            <w:r>
              <w:rPr>
                <w:b/>
                <w:sz w:val="18"/>
                <w:rFonts w:ascii="Times New Roman" w:hAnsi="Times New Roman" w:cs="Times New Roman"/>
              </w:rPr>
              <w:t>0</w:t>
            </w:r>
          </w:p>
        </w:tc>
        <w:tc>
          <w:tcPr>
            <w:tcW w:w="800" w:type="pct"/>
            <w:vAlign w:val="bottom"/>
          </w:tcPr>
          <w:p>
            <w:pPr>
              <w:spacing w:after="0" w:line="240"/>
              <w:jc w:val="right"/>
            </w:pPr>
            <w:r>
              <w:rPr>
                <w:b/>
                <w:sz w:val="18"/>
                <w:rFonts w:ascii="Times New Roman" w:hAnsi="Times New Roman" w:cs="Times New Roman"/>
              </w:rPr>
              <w:t>0</w:t>
            </w:r>
          </w:p>
        </w:tc>
        <w:tc>
          <w:tcPr>
            <w:tcW w:w="800" w:type="pct"/>
            <w:vAlign w:val="bottom"/>
          </w:tcPr>
          <w:p>
            <w:pPr>
              <w:spacing w:after="0" w:line="240"/>
              <w:jc w:val="right"/>
            </w:pPr>
            <w:r>
              <w:rPr>
                <w:b/>
                <w:sz w:val="18"/>
                <w:rFonts w:ascii="Times New Roman" w:hAnsi="Times New Roman" w:cs="Times New Roman"/>
              </w:rPr>
              <w:t/>
            </w:r>
          </w:p>
        </w:tc>
      </w:tr>
    </w:tbl>
    <w:p>
      <w:pPr>
        <w:spacing w:after="0" w:line="240"/>
      </w:pPr>
    </w:p>
    <w:p>
      <w:pPr>
        <w:spacing w:line="240"/>
        <w:jc w:val="both"/>
      </w:pPr>
      <w:r>
        <w:rPr>
          <w:rFonts w:ascii="Times New Roman" w:hAnsi="Times New Roman" w:cs="Times New Roman"/>
          <w:b/>
          <w:color w:val="000000"/>
          <w:sz w:val="24"/>
        </w:rPr>
        <w:t xml:space="preserve">Primici od
zaduživanja</w:t>
      </w:r>
      <w:r>
        <w:rPr>
          <w:rFonts w:ascii="Times New Roman" w:hAnsi="Times New Roman" w:cs="Times New Roman"/>
          <w:color w:val="000000"/>
          <w:sz w:val="24"/>
        </w:rPr>
        <w:t xml:space="preserve"> (šifra 8) ostvareni su u iznosu 50.000.000,00 EUR,
42,86% više nego prošle godine, a odnose se na zaduživanje kod tuzemnih
kreditnih institucija izvan javnog sektora (Privredna banka Zagreb d.d.)
sukladno potrebi osiguranja dodatnog izvora financiranja za pokriće rashoda sukladno
Financijskom planu za 2025. godinu.</w:t>
      </w:r>
    </w:p>
    <w:p>
      <w:pPr>
        <w:spacing w:line="240"/>
        <w:jc w:val="both"/>
      </w:pPr>
      <w:r>
        <w:rPr>
          <w:rFonts w:ascii="Times New Roman" w:hAnsi="Times New Roman" w:cs="Times New Roman"/>
          <w:b/>
          <w:color w:val="000000"/>
          <w:sz w:val="24"/>
        </w:rPr>
        <w:t xml:space="preserve">Izdaci za financijsku imovinu i otplate zajmova </w:t>
      </w:r>
      <w:r>
        <w:rPr>
          <w:rFonts w:ascii="Times New Roman" w:hAnsi="Times New Roman" w:cs="Times New Roman"/>
          <w:color w:val="000000"/>
          <w:sz w:val="24"/>
        </w:rPr>
        <w:t xml:space="preserve">(šifra
5) ostvareni su u iznosu od 14.369.165,79 EUR, 4,83% manje u odnosu na isto
razdoblje prošle godine. Odnose se na otplatu glavnice primljenih kredita i
zajmova (šifra 54). Otplata glavnice HBOR kredita u iznosu 1.592.671,72 EUR,
otplata glavnice kredita Erste &amp; Steiermarkische bank d.d. Rijeka u iznosu 10.073.924,63
EUR, te otplate glavnice primljenih zajmova od državnog proračuna (CEB) u
iznosu 2.702.569,44 EUR.</w:t>
      </w:r>
    </w:p>
    <w:p>
      <w:pPr>
        <w:spacing w:line="240"/>
        <w:jc w:val="both"/>
      </w:pPr>
      <w:r>
        <w:rPr>
          <w:rFonts w:ascii="Times New Roman" w:hAnsi="Times New Roman" w:cs="Times New Roman"/>
          <w:color w:val="000000"/>
          <w:sz w:val="24"/>
        </w:rPr>
        <w:t xml:space="preserve">PRIJENOS SREDSTAVA</w:t>
      </w:r>
    </w:p>
    <w:p>
      <w:pPr>
        <w:spacing w:line="240"/>
        <w:jc w:val="both"/>
      </w:pPr>
      <w:r>
        <w:rPr>
          <w:rFonts w:ascii="Times New Roman" w:hAnsi="Times New Roman" w:cs="Times New Roman"/>
          <w:color w:val="000000"/>
          <w:sz w:val="24"/>
        </w:rPr>
        <w:t xml:space="preserve">Hrvatske vode u 2025. godinu
raspoređuju iznos od 8.319.769,93 EUR. Hrvatske vode na dan 30.6.2025.
prenose 23.847.760,34 EUR u iduće razdoblje, a odnose se na vlastita
sredstva te će se koristiti za redovnu djelatnost.</w:t>
      </w:r>
    </w:p>
    <w:p>
      <w:pPr>
        <w:spacing w:line="360"/>
        <w:jc w:val="center"/>
      </w:pPr>
      <w:r>
        <w:rPr>
          <w:b/>
          <w:sz w:val="24"/>
          <w:rFonts w:ascii="Times New Roman" w:hAnsi="Times New Roman" w:cs="Times New Roman"/>
        </w:rPr>
        <w:br/>
        <w:t xml:space="preserve">IZVJEŠTAJ O ZADUŽIVANJU NA DOMAĆEM I STRANOM TRŽIŠTU NOVCA I KAPITALA</w:t>
      </w:r>
    </w:p>
    <w:p>
      <w:pPr>
        <w:spacing w:line="240"/>
        <w:jc w:val="both"/>
      </w:pPr>
      <w:r>
        <w:rPr>
          <w:rFonts w:ascii="Times New Roman" w:hAnsi="Times New Roman" w:cs="Times New Roman"/>
          <w:sz w:val="24"/>
        </w:rPr>
        <w:t xml:space="preserve">Zaduživanje na domaćem
tržištu kapitala provedeno je uz suglasnost Vlade Republike Hrvatske kod
kreditora Privredna banka d.d. sukladno potrebi osiguranja dodatnog izvora
financiranja za pokriće rashoda predviđenih Financijskim planom za 2025. godinu
u iznosu 113.493.318,00 EUR s rokom korištenja do 31.12.2025. godine. Rok
otplate kredita je 8 godina uz poček od 2 godine, u jednakim polugodišnjim
ratama uz fiksnu kamatnu stopu 1,98% godišnje.</w:t>
      </w:r>
    </w:p>
    <w:p>
      <w:pPr>
        <w:spacing w:line="360"/>
        <w:jc w:val="center"/>
      </w:pPr>
      <w:r>
        <w:rPr>
          <w:b/>
          <w:sz w:val="24"/>
          <w:rFonts w:ascii="Times New Roman" w:hAnsi="Times New Roman" w:cs="Times New Roman"/>
        </w:rPr>
        <w:br/>
        <w:t xml:space="preserve">IZVJEŠTAJ O DANIM JAMSTVIMA I PLAĆANJIMA PO PROTESTIRANIM JAMSTVIMA </w:t>
      </w:r>
    </w:p>
    <w:p>
      <w:pPr>
        <w:spacing w:line="240"/>
        <w:jc w:val="both"/>
      </w:pPr>
      <w:r>
        <w:rPr>
          <w:rFonts w:ascii="Times New Roman" w:hAnsi="Times New Roman" w:cs="Times New Roman"/>
          <w:sz w:val="24"/>
        </w:rPr>
        <w:t xml:space="preserve">Hrvatske vode u
izvještajnom razdoblju nemaju dana ni protestirana jamstva.</w:t>
      </w:r>
    </w:p>
  </w:body>
</w:document>
</file>